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5C" w:rsidRPr="00F02641" w:rsidRDefault="003C5CE5">
      <w:pPr>
        <w:jc w:val="center"/>
        <w:rPr>
          <w:b/>
          <w:sz w:val="28"/>
          <w:szCs w:val="28"/>
          <w:lang w:val="fr-FR"/>
        </w:rPr>
      </w:pPr>
      <w:r>
        <w:rPr>
          <w:b/>
          <w:bCs/>
          <w:sz w:val="28"/>
          <w:szCs w:val="28"/>
          <w:lang w:val="fr-FR"/>
        </w:rPr>
        <w:t>Appel à manifestation d'intérêt : Évaluer les systèmes de recherche en sciences sociales</w:t>
      </w:r>
    </w:p>
    <w:p w:rsidR="00B3655C" w:rsidRPr="00F02641" w:rsidRDefault="003C5CE5">
      <w:pPr>
        <w:jc w:val="center"/>
        <w:rPr>
          <w:b/>
          <w:sz w:val="28"/>
          <w:szCs w:val="28"/>
          <w:lang w:val="fr-FR"/>
        </w:rPr>
      </w:pPr>
      <w:r>
        <w:rPr>
          <w:b/>
          <w:bCs/>
          <w:sz w:val="28"/>
          <w:szCs w:val="28"/>
          <w:lang w:val="fr-FR"/>
        </w:rPr>
        <w:t xml:space="preserve">Programme </w:t>
      </w:r>
      <w:proofErr w:type="spellStart"/>
      <w:r>
        <w:rPr>
          <w:b/>
          <w:bCs/>
          <w:sz w:val="28"/>
          <w:szCs w:val="28"/>
          <w:lang w:val="fr-FR"/>
        </w:rPr>
        <w:t>Doing</w:t>
      </w:r>
      <w:proofErr w:type="spellEnd"/>
      <w:r>
        <w:rPr>
          <w:b/>
          <w:bCs/>
          <w:sz w:val="28"/>
          <w:szCs w:val="28"/>
          <w:lang w:val="fr-FR"/>
        </w:rPr>
        <w:t xml:space="preserve"> </w:t>
      </w:r>
      <w:proofErr w:type="spellStart"/>
      <w:r>
        <w:rPr>
          <w:b/>
          <w:bCs/>
          <w:sz w:val="28"/>
          <w:szCs w:val="28"/>
          <w:lang w:val="fr-FR"/>
        </w:rPr>
        <w:t>Research</w:t>
      </w:r>
      <w:proofErr w:type="spellEnd"/>
    </w:p>
    <w:p w:rsidR="00B3655C" w:rsidRPr="00F02641" w:rsidRDefault="003C5CE5">
      <w:pPr>
        <w:jc w:val="both"/>
        <w:rPr>
          <w:i/>
          <w:lang w:val="fr-FR"/>
        </w:rPr>
      </w:pPr>
      <w:r>
        <w:rPr>
          <w:i/>
          <w:iCs/>
          <w:lang w:val="fr-FR"/>
        </w:rPr>
        <w:t xml:space="preserve">Le Global </w:t>
      </w:r>
      <w:proofErr w:type="spellStart"/>
      <w:r>
        <w:rPr>
          <w:i/>
          <w:iCs/>
          <w:lang w:val="fr-FR"/>
        </w:rPr>
        <w:t>Development</w:t>
      </w:r>
      <w:proofErr w:type="spellEnd"/>
      <w:r>
        <w:rPr>
          <w:i/>
          <w:iCs/>
          <w:lang w:val="fr-FR"/>
        </w:rPr>
        <w:t xml:space="preserve"> Network (GDN) recrute des équipes de recherche multidisciplinaires basées dans des instituts de recherche de pays en développement, pour agir en tant que correspondant</w:t>
      </w:r>
      <w:r w:rsidR="00F02641">
        <w:rPr>
          <w:i/>
          <w:iCs/>
          <w:lang w:val="fr-FR"/>
        </w:rPr>
        <w:t>s</w:t>
      </w:r>
      <w:r>
        <w:rPr>
          <w:i/>
          <w:iCs/>
          <w:lang w:val="fr-FR"/>
        </w:rPr>
        <w:t xml:space="preserve"> nationa</w:t>
      </w:r>
      <w:r w:rsidR="00F02641">
        <w:rPr>
          <w:i/>
          <w:iCs/>
          <w:lang w:val="fr-FR"/>
        </w:rPr>
        <w:t xml:space="preserve">ux du programme </w:t>
      </w:r>
      <w:proofErr w:type="spellStart"/>
      <w:r w:rsidR="00F02641">
        <w:rPr>
          <w:i/>
          <w:iCs/>
          <w:lang w:val="fr-FR"/>
        </w:rPr>
        <w:t>Doing</w:t>
      </w:r>
      <w:proofErr w:type="spellEnd"/>
      <w:r w:rsidR="00F02641">
        <w:rPr>
          <w:i/>
          <w:iCs/>
          <w:lang w:val="fr-FR"/>
        </w:rPr>
        <w:t xml:space="preserve"> </w:t>
      </w:r>
      <w:proofErr w:type="spellStart"/>
      <w:r w:rsidR="00F02641">
        <w:rPr>
          <w:i/>
          <w:iCs/>
          <w:lang w:val="fr-FR"/>
        </w:rPr>
        <w:t>Research</w:t>
      </w:r>
      <w:proofErr w:type="spellEnd"/>
      <w:r w:rsidR="00F02641">
        <w:rPr>
          <w:i/>
          <w:iCs/>
          <w:lang w:val="fr-FR"/>
        </w:rPr>
        <w:t xml:space="preserve"> et</w:t>
      </w:r>
      <w:r>
        <w:rPr>
          <w:i/>
          <w:iCs/>
          <w:lang w:val="fr-FR"/>
        </w:rPr>
        <w:t xml:space="preserve"> partenaires nationaux de</w:t>
      </w:r>
      <w:r w:rsidR="00F02641">
        <w:rPr>
          <w:i/>
          <w:iCs/>
          <w:lang w:val="fr-FR"/>
        </w:rPr>
        <w:t xml:space="preserve"> la</w:t>
      </w:r>
      <w:r>
        <w:rPr>
          <w:i/>
          <w:iCs/>
          <w:lang w:val="fr-FR"/>
        </w:rPr>
        <w:t xml:space="preserve"> mise en œuvre des évaluations </w:t>
      </w:r>
      <w:proofErr w:type="spellStart"/>
      <w:r>
        <w:rPr>
          <w:i/>
          <w:iCs/>
          <w:lang w:val="fr-FR"/>
        </w:rPr>
        <w:t>Doing</w:t>
      </w:r>
      <w:proofErr w:type="spellEnd"/>
      <w:r>
        <w:rPr>
          <w:i/>
          <w:iCs/>
          <w:lang w:val="fr-FR"/>
        </w:rPr>
        <w:t xml:space="preserve"> </w:t>
      </w:r>
      <w:proofErr w:type="spellStart"/>
      <w:r>
        <w:rPr>
          <w:i/>
          <w:iCs/>
          <w:lang w:val="fr-FR"/>
        </w:rPr>
        <w:t>Resear</w:t>
      </w:r>
      <w:r w:rsidR="00F02641">
        <w:rPr>
          <w:i/>
          <w:iCs/>
          <w:lang w:val="fr-FR"/>
        </w:rPr>
        <w:t>ch</w:t>
      </w:r>
      <w:proofErr w:type="spellEnd"/>
      <w:r w:rsidR="00F02641">
        <w:rPr>
          <w:i/>
          <w:iCs/>
          <w:lang w:val="fr-FR"/>
        </w:rPr>
        <w:t xml:space="preserve"> dans leur pays d'opération. </w:t>
      </w:r>
      <w:r>
        <w:rPr>
          <w:i/>
          <w:iCs/>
          <w:lang w:val="fr-FR"/>
        </w:rPr>
        <w:t>Les équipes sélectionnées devront mobiliser des compétences avancées en recherche qualitative et quantitative, et avoir une expérience significative dans l'analyse institutionnelle du secteur national de l'éducation, de la recherche ou de l'innovation dans leur pays d'opération.</w:t>
      </w:r>
    </w:p>
    <w:p w:rsidR="00B3655C" w:rsidRPr="00F02641" w:rsidRDefault="003C5CE5">
      <w:pPr>
        <w:jc w:val="both"/>
        <w:rPr>
          <w:lang w:val="fr-FR"/>
        </w:rPr>
      </w:pPr>
      <w:r>
        <w:rPr>
          <w:lang w:val="fr-FR"/>
        </w:rPr>
        <w:t xml:space="preserve">Le Global </w:t>
      </w:r>
      <w:proofErr w:type="spellStart"/>
      <w:r>
        <w:rPr>
          <w:lang w:val="fr-FR"/>
        </w:rPr>
        <w:t>Development</w:t>
      </w:r>
      <w:proofErr w:type="spellEnd"/>
      <w:r>
        <w:rPr>
          <w:lang w:val="fr-FR"/>
        </w:rPr>
        <w:t xml:space="preserve"> Network (GDN) est une organisation internationale publique qui soutient la recherche en sciences sociales de haute qualité, orientée vers l'action, dans les pays en développement et en transition </w:t>
      </w:r>
      <w:r w:rsidR="00F02641">
        <w:rPr>
          <w:lang w:val="fr-FR"/>
        </w:rPr>
        <w:t>dans le but</w:t>
      </w:r>
      <w:r>
        <w:rPr>
          <w:lang w:val="fr-FR"/>
        </w:rPr>
        <w:t xml:space="preserve"> de promouvoir de meilleures conditions de vie. GDN soutient les chercheurs en leur fournissant des ressources financières, un réseau mondial, ainsi qu'un accès à l'information, à la formation, à l'évaluation par les pairs et au mentorat. L'organisation part du principe qu'une recherche de meilleure qualité conduit à des politiques mieux informées et à un développement plus efficace et plus inclusif. Grâce à sa plateforme</w:t>
      </w:r>
      <w:r w:rsidR="00F02641">
        <w:rPr>
          <w:lang w:val="fr-FR"/>
        </w:rPr>
        <w:t xml:space="preserve"> mondiale, le GDN met en relation d</w:t>
      </w:r>
      <w:r>
        <w:rPr>
          <w:lang w:val="fr-FR"/>
        </w:rPr>
        <w:t>es cherch</w:t>
      </w:r>
      <w:r w:rsidR="00F02641">
        <w:rPr>
          <w:lang w:val="fr-FR"/>
        </w:rPr>
        <w:t>eurs en sciences sociales avec des décideurs politiques et d</w:t>
      </w:r>
      <w:r>
        <w:rPr>
          <w:lang w:val="fr-FR"/>
        </w:rPr>
        <w:t xml:space="preserve">es acteurs du développement </w:t>
      </w:r>
      <w:r w:rsidR="00F02641">
        <w:rPr>
          <w:lang w:val="fr-FR"/>
        </w:rPr>
        <w:t>partout sur</w:t>
      </w:r>
      <w:r>
        <w:rPr>
          <w:lang w:val="fr-FR"/>
        </w:rPr>
        <w:t xml:space="preserve"> la planète. Fondé en 1999, GDN a actuellement son siège à New Delhi.</w:t>
      </w:r>
    </w:p>
    <w:p w:rsidR="00B3655C" w:rsidRPr="00F02641" w:rsidRDefault="003C5CE5">
      <w:pPr>
        <w:jc w:val="both"/>
        <w:rPr>
          <w:lang w:val="fr-FR"/>
        </w:rPr>
      </w:pPr>
      <w:r>
        <w:rPr>
          <w:lang w:val="fr-FR"/>
        </w:rPr>
        <w:t xml:space="preserve">«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 est un programme phare du GDN qui vise à comprendre, cartographier et évaluer les systèmes de recherche en sciences sociales, dans le but d'identifier et d'analyser les obstacles structurels à la recherche dans les pays en développement. </w:t>
      </w:r>
      <w:r w:rsidR="00F02641">
        <w:rPr>
          <w:lang w:val="fr-FR"/>
        </w:rPr>
        <w:t>Entre 2018 et 2023,</w:t>
      </w:r>
      <w:r>
        <w:rPr>
          <w:lang w:val="fr-FR"/>
        </w:rPr>
        <w:t xml:space="preserve"> GDN </w:t>
      </w:r>
      <w:r w:rsidR="00F02641">
        <w:rPr>
          <w:lang w:val="fr-FR"/>
        </w:rPr>
        <w:t xml:space="preserve">veut </w:t>
      </w:r>
      <w:r>
        <w:rPr>
          <w:lang w:val="fr-FR"/>
        </w:rPr>
        <w:t>proc</w:t>
      </w:r>
      <w:r w:rsidR="00F02641">
        <w:rPr>
          <w:lang w:val="fr-FR"/>
        </w:rPr>
        <w:t>é</w:t>
      </w:r>
      <w:r>
        <w:rPr>
          <w:lang w:val="fr-FR"/>
        </w:rPr>
        <w:t>de</w:t>
      </w:r>
      <w:r w:rsidR="00F02641">
        <w:rPr>
          <w:lang w:val="fr-FR"/>
        </w:rPr>
        <w:t>r</w:t>
      </w:r>
      <w:r>
        <w:rPr>
          <w:lang w:val="fr-FR"/>
        </w:rPr>
        <w:t xml:space="preserve"> à un déploiement mondial et lance un appel à manifestation d'intérêt (</w:t>
      </w:r>
      <w:r w:rsidR="00F02641">
        <w:rPr>
          <w:lang w:val="fr-FR"/>
        </w:rPr>
        <w:t>AMI</w:t>
      </w:r>
      <w:r>
        <w:rPr>
          <w:lang w:val="fr-FR"/>
        </w:rPr>
        <w:t>) auprès d'équipes multidisciplinaires basées dans des institutions de recherche de pays en développement désireuses de devenir des correspondant</w:t>
      </w:r>
      <w:r w:rsidR="00F02641">
        <w:rPr>
          <w:lang w:val="fr-FR"/>
        </w:rPr>
        <w:t>es nationales</w:t>
      </w:r>
      <w:r>
        <w:rPr>
          <w:lang w:val="fr-FR"/>
        </w:rPr>
        <w:t xml:space="preserve"> et des partenaires de mise en œuvre du programme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w:t>
      </w:r>
      <w:r w:rsidR="00F02641">
        <w:rPr>
          <w:lang w:val="fr-FR"/>
        </w:rPr>
        <w:t>à l’échelle</w:t>
      </w:r>
      <w:r>
        <w:rPr>
          <w:lang w:val="fr-FR"/>
        </w:rPr>
        <w:t xml:space="preserve"> </w:t>
      </w:r>
      <w:r w:rsidR="00F02641">
        <w:rPr>
          <w:lang w:val="fr-FR"/>
        </w:rPr>
        <w:t>de leur pays</w:t>
      </w:r>
      <w:r>
        <w:rPr>
          <w:lang w:val="fr-FR"/>
        </w:rPr>
        <w:t>. Grâce à leur association ave</w:t>
      </w:r>
      <w:r w:rsidR="00F02641">
        <w:rPr>
          <w:lang w:val="fr-FR"/>
        </w:rPr>
        <w:t xml:space="preserve">c le programme </w:t>
      </w:r>
      <w:proofErr w:type="spellStart"/>
      <w:r w:rsidR="00F02641">
        <w:rPr>
          <w:lang w:val="fr-FR"/>
        </w:rPr>
        <w:t>Doing</w:t>
      </w:r>
      <w:proofErr w:type="spellEnd"/>
      <w:r w:rsidR="00F02641">
        <w:rPr>
          <w:lang w:val="fr-FR"/>
        </w:rPr>
        <w:t xml:space="preserve"> </w:t>
      </w:r>
      <w:proofErr w:type="spellStart"/>
      <w:r w:rsidR="00F02641">
        <w:rPr>
          <w:lang w:val="fr-FR"/>
        </w:rPr>
        <w:t>Research</w:t>
      </w:r>
      <w:proofErr w:type="spellEnd"/>
      <w:r w:rsidR="00F02641">
        <w:rPr>
          <w:lang w:val="fr-FR"/>
        </w:rPr>
        <w:t>, c</w:t>
      </w:r>
      <w:r>
        <w:rPr>
          <w:lang w:val="fr-FR"/>
        </w:rPr>
        <w:t>es correspondants nationaux ont vocation à deveni</w:t>
      </w:r>
      <w:r w:rsidR="00F02641">
        <w:rPr>
          <w:lang w:val="fr-FR"/>
        </w:rPr>
        <w:t xml:space="preserve">r des institutions de référence </w:t>
      </w:r>
      <w:r>
        <w:rPr>
          <w:lang w:val="fr-FR"/>
        </w:rPr>
        <w:t>pour la recherche, la réflexion politique et les débats publics sur le système national de recherche, sa réglementation et sa contribution au développement.</w:t>
      </w:r>
    </w:p>
    <w:p w:rsidR="00B3655C" w:rsidRDefault="003C5CE5">
      <w:pPr>
        <w:numPr>
          <w:ilvl w:val="0"/>
          <w:numId w:val="3"/>
        </w:numPr>
        <w:pBdr>
          <w:top w:val="nil"/>
          <w:left w:val="nil"/>
          <w:bottom w:val="nil"/>
          <w:right w:val="nil"/>
          <w:between w:val="nil"/>
        </w:pBdr>
        <w:ind w:left="360"/>
        <w:jc w:val="both"/>
      </w:pPr>
      <w:r>
        <w:rPr>
          <w:b/>
          <w:bCs/>
          <w:color w:val="000000"/>
          <w:lang w:val="fr-FR"/>
        </w:rPr>
        <w:t>Contexte</w:t>
      </w:r>
      <w:r>
        <w:rPr>
          <w:color w:val="000000"/>
          <w:lang w:val="fr-FR"/>
        </w:rPr>
        <w:t xml:space="preserve"> </w:t>
      </w:r>
    </w:p>
    <w:p w:rsidR="00B3655C" w:rsidRPr="00F02641" w:rsidRDefault="003C5CE5">
      <w:pPr>
        <w:jc w:val="both"/>
        <w:rPr>
          <w:b/>
          <w:lang w:val="fr-FR"/>
        </w:rPr>
      </w:pPr>
      <w:r>
        <w:rPr>
          <w:lang w:val="fr-FR"/>
        </w:rPr>
        <w:t xml:space="preserve">Le travail du GDN sur les systèmes de recherche s'appuie sur les travaux de </w:t>
      </w:r>
      <w:proofErr w:type="spellStart"/>
      <w:r>
        <w:rPr>
          <w:lang w:val="fr-FR"/>
        </w:rPr>
        <w:t>Lundvall</w:t>
      </w:r>
      <w:proofErr w:type="spellEnd"/>
      <w:r>
        <w:rPr>
          <w:lang w:val="fr-FR"/>
        </w:rPr>
        <w:t xml:space="preserve"> (2007), de la CE (2009), du CRDI (2</w:t>
      </w:r>
      <w:r w:rsidR="000265EA">
        <w:rPr>
          <w:lang w:val="fr-FR"/>
        </w:rPr>
        <w:t>013), de Williams et al. (2013)</w:t>
      </w:r>
      <w:r>
        <w:rPr>
          <w:lang w:val="fr-FR"/>
        </w:rPr>
        <w:t xml:space="preserve"> et sur le projet pilote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du GDN (2017a). Le programme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propose une analyse systémique de l'environnement, des fonctions et du système de recherche au niveau </w:t>
      </w:r>
      <w:r w:rsidR="000265EA">
        <w:rPr>
          <w:lang w:val="fr-FR"/>
        </w:rPr>
        <w:t>des pays</w:t>
      </w:r>
      <w:r>
        <w:rPr>
          <w:lang w:val="fr-FR"/>
        </w:rPr>
        <w:t xml:space="preserve">. En fournissant de nouvelles données et recherches sur ces aspects à travers un nouveau cadre comparatif, le programme vise à soutenir les décideurs politiques nationaux, les bailleurs de fonds nationaux et internationaux et les universitaires </w:t>
      </w:r>
      <w:r w:rsidR="000265EA">
        <w:rPr>
          <w:lang w:val="fr-FR"/>
        </w:rPr>
        <w:t>afin</w:t>
      </w:r>
      <w:r>
        <w:rPr>
          <w:lang w:val="fr-FR"/>
        </w:rPr>
        <w:t xml:space="preserve"> qu'ils élaborent des stratégies visant à stimuler la </w:t>
      </w:r>
      <w:r>
        <w:rPr>
          <w:lang w:val="fr-FR"/>
        </w:rPr>
        <w:lastRenderedPageBreak/>
        <w:t>production locale de recherche universitaire de qualité et sa contribution au débat public et aux politiques de développement durable.</w:t>
      </w:r>
    </w:p>
    <w:p w:rsidR="00B3655C" w:rsidRPr="00F02641" w:rsidRDefault="003C5CE5">
      <w:pPr>
        <w:jc w:val="both"/>
        <w:rPr>
          <w:lang w:val="fr-FR"/>
        </w:rPr>
      </w:pPr>
      <w:r>
        <w:rPr>
          <w:lang w:val="fr-FR"/>
        </w:rPr>
        <w:t>Une phase pilote (2014-</w:t>
      </w:r>
      <w:r w:rsidR="000265EA">
        <w:rPr>
          <w:lang w:val="fr-FR"/>
        </w:rPr>
        <w:t>20</w:t>
      </w:r>
      <w:r>
        <w:rPr>
          <w:lang w:val="fr-FR"/>
        </w:rPr>
        <w:t>16) a permis de soutenir sept équipes de recherche d</w:t>
      </w:r>
      <w:r w:rsidR="00E21862">
        <w:rPr>
          <w:lang w:val="fr-FR"/>
        </w:rPr>
        <w:t>e</w:t>
      </w:r>
      <w:r>
        <w:rPr>
          <w:lang w:val="fr-FR"/>
        </w:rPr>
        <w:t xml:space="preserve"> onze pays en développement d'Afrique, d'Asie et d'Amérique latine, afin d'étudier leur environnement de recherche à l'aide d'un éventail d'approches scientifiques différentes, allant de l'analyse historique à l'analyse de l'économie politique et aux approches économétriques. </w:t>
      </w:r>
      <w:r w:rsidR="00E21862">
        <w:rPr>
          <w:lang w:val="fr-FR"/>
        </w:rPr>
        <w:t>La</w:t>
      </w:r>
      <w:r>
        <w:rPr>
          <w:lang w:val="fr-FR"/>
        </w:rPr>
        <w:t xml:space="preserve"> synthèse des études pilotes a mis en évidence un ensemble de « déterminants » considérés comme pertinents pour comprendre les systèmes de recherche et leurs performances (GDN 2017a). Cet exercice collaboratif a abouti à un atelier de synthèse et de mise à l'échelle en mai 2016 qui a établi les bases de l'évaluation de la recherche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w:t>
      </w:r>
      <w:proofErr w:type="spellStart"/>
      <w:r>
        <w:rPr>
          <w:lang w:val="fr-FR"/>
        </w:rPr>
        <w:t>Assessment</w:t>
      </w:r>
      <w:proofErr w:type="spellEnd"/>
      <w:r>
        <w:rPr>
          <w:lang w:val="fr-FR"/>
        </w:rPr>
        <w:t>, DRA) à partir de conversations avec un large éventail d'experts et d'agences.</w:t>
      </w:r>
    </w:p>
    <w:p w:rsidR="00E45C0E" w:rsidRPr="00F02641" w:rsidRDefault="003C5CE5" w:rsidP="00E45C0E">
      <w:pPr>
        <w:jc w:val="both"/>
        <w:rPr>
          <w:lang w:val="fr-FR"/>
        </w:rPr>
      </w:pPr>
      <w:r>
        <w:rPr>
          <w:lang w:val="fr-FR"/>
        </w:rPr>
        <w:t xml:space="preserve">En 2018, GDN a décidé d'ancrer la mise en œuvre de la méthodologie (DRA) </w:t>
      </w:r>
      <w:r w:rsidR="00E21862">
        <w:rPr>
          <w:lang w:val="fr-FR"/>
        </w:rPr>
        <w:t>dans le travail des institutions</w:t>
      </w:r>
      <w:r>
        <w:rPr>
          <w:lang w:val="fr-FR"/>
        </w:rPr>
        <w:t xml:space="preserve"> nationales intéressées par le sujet dans le cadre de la phase Proof-of-Concept (démonstration de faisabilité) du programme, soutenant en même temps l'émergence d'un réseau de centres de recherche dans l'hémisphère sud. Le GDN veille à ce que les résultats soient pertinents, exploitables et comparables au niveau local. Dans le cadre de cet effort, le</w:t>
      </w:r>
      <w:r w:rsidR="00E21862">
        <w:rPr>
          <w:lang w:val="fr-FR"/>
        </w:rPr>
        <w:t>s</w:t>
      </w:r>
      <w:r>
        <w:rPr>
          <w:lang w:val="fr-FR"/>
        </w:rPr>
        <w:t xml:space="preserve"> DRA </w:t>
      </w:r>
      <w:r w:rsidR="00E21862">
        <w:rPr>
          <w:lang w:val="fr-FR"/>
        </w:rPr>
        <w:t>ont</w:t>
      </w:r>
      <w:r>
        <w:rPr>
          <w:lang w:val="fr-FR"/>
        </w:rPr>
        <w:t xml:space="preserve"> été mis en œuvre en Bolivie, en Indonésie, au Myanmar et au Nigeria (de janvier 2018 à décembre 2020), avec le financement du GDN et du CRDI (au Myanmar). </w:t>
      </w:r>
    </w:p>
    <w:p w:rsidR="00B3655C" w:rsidRPr="00F02641" w:rsidRDefault="003C5CE5" w:rsidP="00E45C0E">
      <w:pPr>
        <w:jc w:val="both"/>
        <w:rPr>
          <w:lang w:val="fr-FR"/>
        </w:rPr>
      </w:pPr>
      <w:r>
        <w:rPr>
          <w:lang w:val="fr-FR"/>
        </w:rPr>
        <w:t xml:space="preserve">Dans la méthodologie DRA standard, GDN en est maintenant à la phase d'échelle du programme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qui vise à passer à des régions entières ou à des groupes de pays (PMD, pays fragiles). Les études à venir comprennent </w:t>
      </w:r>
      <w:r w:rsidR="00E21862">
        <w:rPr>
          <w:lang w:val="fr-FR"/>
        </w:rPr>
        <w:t>des</w:t>
      </w:r>
      <w:r>
        <w:rPr>
          <w:lang w:val="fr-FR"/>
        </w:rPr>
        <w:t xml:space="preserve"> </w:t>
      </w:r>
      <w:r w:rsidR="00E21862">
        <w:rPr>
          <w:lang w:val="fr-FR"/>
        </w:rPr>
        <w:t>évaluations</w:t>
      </w:r>
      <w:r>
        <w:rPr>
          <w:lang w:val="fr-FR"/>
        </w:rPr>
        <w:t xml:space="preserve"> au Salvador (2021) et </w:t>
      </w:r>
      <w:r w:rsidR="00E21862">
        <w:rPr>
          <w:lang w:val="fr-FR"/>
        </w:rPr>
        <w:t>une approche</w:t>
      </w:r>
      <w:r>
        <w:rPr>
          <w:lang w:val="fr-FR"/>
        </w:rPr>
        <w:t xml:space="preserve"> préliminaire pour comprendre l'état de la science et de la technologie au Venezuela (en partenariat avec le CRDI).</w:t>
      </w:r>
    </w:p>
    <w:p w:rsidR="00B3655C" w:rsidRDefault="003C5CE5">
      <w:pPr>
        <w:numPr>
          <w:ilvl w:val="0"/>
          <w:numId w:val="3"/>
        </w:numPr>
        <w:pBdr>
          <w:top w:val="nil"/>
          <w:left w:val="nil"/>
          <w:bottom w:val="nil"/>
          <w:right w:val="nil"/>
          <w:between w:val="nil"/>
        </w:pBdr>
        <w:ind w:left="360"/>
        <w:jc w:val="both"/>
        <w:rPr>
          <w:color w:val="000000"/>
        </w:rPr>
      </w:pPr>
      <w:r>
        <w:rPr>
          <w:b/>
          <w:bCs/>
          <w:color w:val="000000"/>
          <w:lang w:val="fr-FR"/>
        </w:rPr>
        <w:t>Documents de référence</w:t>
      </w:r>
    </w:p>
    <w:p w:rsidR="00B3655C" w:rsidRPr="00F02641" w:rsidRDefault="003C5CE5">
      <w:pPr>
        <w:spacing w:after="0"/>
        <w:jc w:val="both"/>
        <w:rPr>
          <w:lang w:val="fr-FR"/>
        </w:rPr>
      </w:pPr>
      <w:r>
        <w:rPr>
          <w:lang w:val="fr-FR"/>
        </w:rPr>
        <w:t>Un certain nombre de documents clés élaborés par le GDN sont disponibles en ligne :</w:t>
      </w:r>
    </w:p>
    <w:p w:rsidR="00B3655C" w:rsidRDefault="00E5093D">
      <w:pPr>
        <w:numPr>
          <w:ilvl w:val="0"/>
          <w:numId w:val="1"/>
        </w:numPr>
        <w:pBdr>
          <w:top w:val="nil"/>
          <w:left w:val="nil"/>
          <w:bottom w:val="nil"/>
          <w:right w:val="nil"/>
          <w:between w:val="nil"/>
        </w:pBdr>
        <w:spacing w:after="0"/>
        <w:jc w:val="both"/>
        <w:rPr>
          <w:b/>
          <w:color w:val="000000"/>
          <w:lang w:val="fr-FR"/>
        </w:rPr>
      </w:pPr>
      <w:hyperlink r:id="rId7" w:history="1">
        <w:proofErr w:type="spellStart"/>
        <w:r w:rsidR="003C5CE5">
          <w:rPr>
            <w:b/>
            <w:bCs/>
            <w:color w:val="0000FF"/>
            <w:u w:val="single"/>
            <w:lang w:val="fr-FR"/>
          </w:rPr>
          <w:t>Doing</w:t>
        </w:r>
        <w:proofErr w:type="spellEnd"/>
        <w:r w:rsidR="003C5CE5">
          <w:rPr>
            <w:b/>
            <w:bCs/>
            <w:color w:val="0000FF"/>
            <w:u w:val="single"/>
            <w:lang w:val="fr-FR"/>
          </w:rPr>
          <w:t xml:space="preserve"> </w:t>
        </w:r>
        <w:proofErr w:type="spellStart"/>
        <w:r w:rsidR="003C5CE5">
          <w:rPr>
            <w:b/>
            <w:bCs/>
            <w:color w:val="0000FF"/>
            <w:u w:val="single"/>
            <w:lang w:val="fr-FR"/>
          </w:rPr>
          <w:t>Research</w:t>
        </w:r>
        <w:proofErr w:type="spellEnd"/>
        <w:r w:rsidR="003C5CE5">
          <w:rPr>
            <w:b/>
            <w:bCs/>
            <w:color w:val="0000FF"/>
            <w:u w:val="single"/>
            <w:lang w:val="fr-FR"/>
          </w:rPr>
          <w:t xml:space="preserve"> </w:t>
        </w:r>
        <w:proofErr w:type="spellStart"/>
        <w:r w:rsidR="003C5CE5">
          <w:rPr>
            <w:b/>
            <w:bCs/>
            <w:color w:val="0000FF"/>
            <w:u w:val="single"/>
            <w:lang w:val="fr-FR"/>
          </w:rPr>
          <w:t>Assessments</w:t>
        </w:r>
        <w:proofErr w:type="spellEnd"/>
      </w:hyperlink>
      <w:r w:rsidR="003C5CE5">
        <w:rPr>
          <w:b/>
          <w:bCs/>
          <w:color w:val="000000"/>
          <w:lang w:val="fr-FR"/>
        </w:rPr>
        <w:t>. Document du programme</w:t>
      </w:r>
      <w:r w:rsidR="00E21862">
        <w:rPr>
          <w:b/>
          <w:bCs/>
          <w:color w:val="000000"/>
          <w:lang w:val="fr-FR"/>
        </w:rPr>
        <w:t xml:space="preserve"> du</w:t>
      </w:r>
      <w:r w:rsidR="003C5CE5">
        <w:rPr>
          <w:b/>
          <w:bCs/>
          <w:color w:val="000000"/>
          <w:lang w:val="fr-FR"/>
        </w:rPr>
        <w:t xml:space="preserve"> GDN</w:t>
      </w:r>
      <w:r w:rsidR="003C5CE5">
        <w:rPr>
          <w:color w:val="000000"/>
          <w:lang w:val="fr-FR"/>
        </w:rPr>
        <w:t xml:space="preserve"> </w:t>
      </w:r>
    </w:p>
    <w:p w:rsidR="00B3655C" w:rsidRDefault="00E5093D">
      <w:pPr>
        <w:numPr>
          <w:ilvl w:val="0"/>
          <w:numId w:val="1"/>
        </w:numPr>
        <w:pBdr>
          <w:top w:val="nil"/>
          <w:left w:val="nil"/>
          <w:bottom w:val="nil"/>
          <w:right w:val="nil"/>
          <w:between w:val="nil"/>
        </w:pBdr>
        <w:spacing w:after="0"/>
        <w:jc w:val="both"/>
        <w:rPr>
          <w:b/>
          <w:color w:val="000000"/>
          <w:lang w:val="fr-FR"/>
        </w:rPr>
      </w:pPr>
      <w:hyperlink r:id="rId8" w:history="1">
        <w:r w:rsidR="003C5CE5">
          <w:rPr>
            <w:b/>
            <w:bCs/>
            <w:color w:val="0000FF"/>
            <w:u w:val="single"/>
            <w:lang w:val="fr-FR"/>
          </w:rPr>
          <w:t xml:space="preserve">Synthèse de la phase pilote de </w:t>
        </w:r>
        <w:proofErr w:type="spellStart"/>
        <w:r w:rsidR="003C5CE5">
          <w:rPr>
            <w:b/>
            <w:bCs/>
            <w:color w:val="0000FF"/>
            <w:u w:val="single"/>
            <w:lang w:val="fr-FR"/>
          </w:rPr>
          <w:t>Doing</w:t>
        </w:r>
        <w:proofErr w:type="spellEnd"/>
        <w:r w:rsidR="003C5CE5">
          <w:rPr>
            <w:b/>
            <w:bCs/>
            <w:color w:val="0000FF"/>
            <w:u w:val="single"/>
            <w:lang w:val="fr-FR"/>
          </w:rPr>
          <w:t xml:space="preserve"> </w:t>
        </w:r>
        <w:proofErr w:type="spellStart"/>
        <w:r w:rsidR="003C5CE5">
          <w:rPr>
            <w:b/>
            <w:bCs/>
            <w:color w:val="0000FF"/>
            <w:u w:val="single"/>
            <w:lang w:val="fr-FR"/>
          </w:rPr>
          <w:t>Research</w:t>
        </w:r>
        <w:proofErr w:type="spellEnd"/>
      </w:hyperlink>
      <w:r w:rsidR="003C5CE5">
        <w:rPr>
          <w:b/>
          <w:bCs/>
          <w:color w:val="000000"/>
          <w:lang w:val="fr-FR"/>
        </w:rPr>
        <w:t>. Document du programme</w:t>
      </w:r>
      <w:r w:rsidR="00E21862">
        <w:rPr>
          <w:b/>
          <w:bCs/>
          <w:color w:val="000000"/>
          <w:lang w:val="fr-FR"/>
        </w:rPr>
        <w:t xml:space="preserve"> du</w:t>
      </w:r>
      <w:r w:rsidR="003C5CE5">
        <w:rPr>
          <w:b/>
          <w:bCs/>
          <w:color w:val="000000"/>
          <w:lang w:val="fr-FR"/>
        </w:rPr>
        <w:t xml:space="preserve"> GDN</w:t>
      </w:r>
    </w:p>
    <w:p w:rsidR="00E45C0E" w:rsidRDefault="00E5093D">
      <w:pPr>
        <w:numPr>
          <w:ilvl w:val="0"/>
          <w:numId w:val="1"/>
        </w:numPr>
        <w:pBdr>
          <w:top w:val="nil"/>
          <w:left w:val="nil"/>
          <w:bottom w:val="nil"/>
          <w:right w:val="nil"/>
          <w:between w:val="nil"/>
        </w:pBdr>
        <w:spacing w:after="0"/>
        <w:jc w:val="both"/>
        <w:rPr>
          <w:b/>
          <w:color w:val="000000"/>
          <w:lang w:val="fr-FR"/>
        </w:rPr>
      </w:pPr>
      <w:hyperlink r:id="rId9" w:history="1">
        <w:r w:rsidR="00E21862">
          <w:rPr>
            <w:b/>
            <w:bCs/>
            <w:color w:val="0000FF"/>
            <w:u w:val="single"/>
            <w:lang w:val="fr-FR"/>
          </w:rPr>
          <w:t>Evaluations</w:t>
        </w:r>
        <w:r w:rsidR="003C5CE5">
          <w:rPr>
            <w:b/>
            <w:bCs/>
            <w:color w:val="0000FF"/>
            <w:u w:val="single"/>
            <w:lang w:val="fr-FR"/>
          </w:rPr>
          <w:t xml:space="preserve"> de la phase Proof-of-Concept</w:t>
        </w:r>
      </w:hyperlink>
      <w:r w:rsidR="003C5CE5">
        <w:rPr>
          <w:b/>
          <w:bCs/>
          <w:color w:val="000000"/>
          <w:lang w:val="fr-FR"/>
        </w:rPr>
        <w:t>. Bolivie, Indonésie, Myanmar et Nigeria</w:t>
      </w:r>
      <w:r w:rsidR="003C5CE5">
        <w:rPr>
          <w:color w:val="000000"/>
          <w:lang w:val="fr-FR"/>
        </w:rPr>
        <w:t xml:space="preserve"> </w:t>
      </w:r>
    </w:p>
    <w:p w:rsidR="00B3655C" w:rsidRPr="00F02641" w:rsidRDefault="00B3655C">
      <w:pPr>
        <w:spacing w:after="0"/>
        <w:jc w:val="both"/>
        <w:rPr>
          <w:b/>
          <w:lang w:val="fr-FR"/>
        </w:rPr>
      </w:pPr>
    </w:p>
    <w:p w:rsidR="00B3655C" w:rsidRDefault="003C5CE5">
      <w:pPr>
        <w:spacing w:after="0"/>
        <w:jc w:val="both"/>
      </w:pPr>
      <w:r>
        <w:rPr>
          <w:lang w:val="fr-FR"/>
        </w:rPr>
        <w:t>Ressources supplémentaires :</w:t>
      </w:r>
    </w:p>
    <w:p w:rsidR="00B3655C" w:rsidRDefault="003C5CE5">
      <w:pPr>
        <w:numPr>
          <w:ilvl w:val="0"/>
          <w:numId w:val="1"/>
        </w:numPr>
        <w:pBdr>
          <w:top w:val="nil"/>
          <w:left w:val="nil"/>
          <w:bottom w:val="nil"/>
          <w:right w:val="nil"/>
          <w:between w:val="nil"/>
        </w:pBdr>
        <w:spacing w:after="0"/>
        <w:jc w:val="both"/>
        <w:rPr>
          <w:color w:val="0000FF"/>
          <w:lang w:val="fr-FR"/>
        </w:rPr>
      </w:pPr>
      <w:r>
        <w:rPr>
          <w:color w:val="000000"/>
          <w:lang w:val="fr-FR"/>
        </w:rPr>
        <w:t xml:space="preserve">Série de quatre infographies sur </w:t>
      </w:r>
      <w:proofErr w:type="spellStart"/>
      <w:r>
        <w:rPr>
          <w:color w:val="000000"/>
          <w:lang w:val="fr-FR"/>
        </w:rPr>
        <w:t>Doing</w:t>
      </w:r>
      <w:proofErr w:type="spellEnd"/>
      <w:r>
        <w:rPr>
          <w:color w:val="000000"/>
          <w:lang w:val="fr-FR"/>
        </w:rPr>
        <w:t xml:space="preserve"> </w:t>
      </w:r>
      <w:proofErr w:type="spellStart"/>
      <w:r>
        <w:rPr>
          <w:color w:val="000000"/>
          <w:lang w:val="fr-FR"/>
        </w:rPr>
        <w:t>Research</w:t>
      </w:r>
      <w:proofErr w:type="spellEnd"/>
      <w:r>
        <w:rPr>
          <w:color w:val="000000"/>
          <w:lang w:val="fr-FR"/>
        </w:rPr>
        <w:t xml:space="preserve"> : </w:t>
      </w:r>
      <w:hyperlink r:id="rId10" w:history="1">
        <w:r>
          <w:rPr>
            <w:color w:val="0000FF"/>
            <w:u w:val="single"/>
            <w:lang w:val="fr-FR"/>
          </w:rPr>
          <w:t>Pourquoi</w:t>
        </w:r>
        <w:r>
          <w:rPr>
            <w:color w:val="0000FF"/>
            <w:lang w:val="fr-FR"/>
          </w:rPr>
          <w:t xml:space="preserve"> </w:t>
        </w:r>
      </w:hyperlink>
      <w:r>
        <w:rPr>
          <w:color w:val="000000"/>
          <w:lang w:val="fr-FR"/>
        </w:rPr>
        <w:t xml:space="preserve">| </w:t>
      </w:r>
      <w:hyperlink r:id="rId11" w:history="1">
        <w:r>
          <w:rPr>
            <w:color w:val="0000FF"/>
            <w:u w:val="single"/>
            <w:lang w:val="fr-FR"/>
          </w:rPr>
          <w:t>Afrique</w:t>
        </w:r>
        <w:r>
          <w:rPr>
            <w:color w:val="0000FF"/>
            <w:lang w:val="fr-FR"/>
          </w:rPr>
          <w:t xml:space="preserve"> </w:t>
        </w:r>
      </w:hyperlink>
      <w:r>
        <w:rPr>
          <w:color w:val="000000"/>
          <w:lang w:val="fr-FR"/>
        </w:rPr>
        <w:t>|</w:t>
      </w:r>
      <w:hyperlink r:id="rId12" w:history="1">
        <w:r>
          <w:rPr>
            <w:color w:val="0000FF"/>
            <w:lang w:val="fr-FR"/>
          </w:rPr>
          <w:t xml:space="preserve"> </w:t>
        </w:r>
        <w:r>
          <w:rPr>
            <w:color w:val="0000FF"/>
            <w:u w:val="single"/>
            <w:lang w:val="fr-FR"/>
          </w:rPr>
          <w:t>Obstacles</w:t>
        </w:r>
        <w:r>
          <w:rPr>
            <w:color w:val="0000FF"/>
            <w:lang w:val="fr-FR"/>
          </w:rPr>
          <w:t xml:space="preserve"> </w:t>
        </w:r>
      </w:hyperlink>
      <w:r w:rsidR="00E21862">
        <w:rPr>
          <w:color w:val="000000"/>
          <w:lang w:val="fr-FR"/>
        </w:rPr>
        <w:t>|</w:t>
      </w:r>
      <w:hyperlink r:id="rId13" w:history="1">
        <w:r>
          <w:rPr>
            <w:color w:val="000000"/>
            <w:lang w:val="fr-FR"/>
          </w:rPr>
          <w:t xml:space="preserve"> </w:t>
        </w:r>
        <w:r>
          <w:rPr>
            <w:color w:val="0000FF"/>
            <w:u w:val="single"/>
            <w:lang w:val="fr-FR"/>
          </w:rPr>
          <w:t>Recherche locale</w:t>
        </w:r>
      </w:hyperlink>
    </w:p>
    <w:p w:rsidR="00B3655C" w:rsidRDefault="00E5093D">
      <w:pPr>
        <w:numPr>
          <w:ilvl w:val="0"/>
          <w:numId w:val="1"/>
        </w:numPr>
        <w:pBdr>
          <w:top w:val="nil"/>
          <w:left w:val="nil"/>
          <w:bottom w:val="nil"/>
          <w:right w:val="nil"/>
          <w:between w:val="nil"/>
        </w:pBdr>
        <w:spacing w:after="0"/>
        <w:jc w:val="both"/>
        <w:rPr>
          <w:color w:val="000000"/>
          <w:lang w:val="fr-FR"/>
        </w:rPr>
      </w:pPr>
      <w:hyperlink r:id="rId14" w:history="1">
        <w:r w:rsidR="003C5CE5">
          <w:rPr>
            <w:color w:val="0000FF"/>
            <w:u w:val="single"/>
            <w:lang w:val="fr-FR"/>
          </w:rPr>
          <w:t xml:space="preserve">Résumé de l'atelier </w:t>
        </w:r>
        <w:proofErr w:type="spellStart"/>
        <w:r w:rsidR="003C5CE5">
          <w:rPr>
            <w:color w:val="0000FF"/>
            <w:u w:val="single"/>
            <w:lang w:val="fr-FR"/>
          </w:rPr>
          <w:t>Scale</w:t>
        </w:r>
        <w:proofErr w:type="spellEnd"/>
        <w:r w:rsidR="003C5CE5">
          <w:rPr>
            <w:color w:val="0000FF"/>
            <w:u w:val="single"/>
            <w:lang w:val="fr-FR"/>
          </w:rPr>
          <w:t>-Up</w:t>
        </w:r>
      </w:hyperlink>
      <w:r w:rsidR="003C5CE5">
        <w:rPr>
          <w:color w:val="000000"/>
          <w:lang w:val="fr-FR"/>
        </w:rPr>
        <w:t>. Brighton, 2016</w:t>
      </w:r>
    </w:p>
    <w:p w:rsidR="00B3655C" w:rsidRDefault="00E5093D">
      <w:pPr>
        <w:numPr>
          <w:ilvl w:val="0"/>
          <w:numId w:val="1"/>
        </w:numPr>
        <w:pBdr>
          <w:top w:val="nil"/>
          <w:left w:val="nil"/>
          <w:bottom w:val="nil"/>
          <w:right w:val="nil"/>
          <w:between w:val="nil"/>
        </w:pBdr>
        <w:spacing w:after="0"/>
        <w:ind w:left="714" w:hanging="357"/>
        <w:jc w:val="both"/>
        <w:rPr>
          <w:color w:val="000000"/>
          <w:lang w:val="fr-FR"/>
        </w:rPr>
      </w:pPr>
      <w:hyperlink r:id="rId15" w:history="1">
        <w:r w:rsidR="003C5CE5">
          <w:rPr>
            <w:color w:val="0000FF"/>
            <w:u w:val="single"/>
            <w:lang w:val="fr-FR"/>
          </w:rPr>
          <w:t>Résumé de la table ronde des principaux acteurs</w:t>
        </w:r>
      </w:hyperlink>
      <w:r w:rsidR="003C5CE5">
        <w:rPr>
          <w:color w:val="000000"/>
          <w:lang w:val="fr-FR"/>
        </w:rPr>
        <w:t>. Nairobi, 2017</w:t>
      </w:r>
    </w:p>
    <w:p w:rsidR="00B3655C" w:rsidRDefault="00E5093D">
      <w:pPr>
        <w:numPr>
          <w:ilvl w:val="0"/>
          <w:numId w:val="1"/>
        </w:numPr>
        <w:pBdr>
          <w:top w:val="nil"/>
          <w:left w:val="nil"/>
          <w:bottom w:val="nil"/>
          <w:right w:val="nil"/>
          <w:between w:val="nil"/>
        </w:pBdr>
        <w:spacing w:after="0"/>
        <w:jc w:val="both"/>
        <w:rPr>
          <w:color w:val="0000FF"/>
          <w:lang w:val="fr-FR"/>
        </w:rPr>
      </w:pPr>
      <w:hyperlink r:id="rId16" w:history="1">
        <w:r w:rsidR="003C5CE5">
          <w:rPr>
            <w:color w:val="0000FF"/>
            <w:u w:val="single"/>
            <w:lang w:val="fr-FR"/>
          </w:rPr>
          <w:t xml:space="preserve">Rapport d'évaluation de la phase pilote de </w:t>
        </w:r>
        <w:proofErr w:type="spellStart"/>
        <w:r w:rsidR="003C5CE5">
          <w:rPr>
            <w:color w:val="0000FF"/>
            <w:u w:val="single"/>
            <w:lang w:val="fr-FR"/>
          </w:rPr>
          <w:t>Doing</w:t>
        </w:r>
        <w:proofErr w:type="spellEnd"/>
        <w:r w:rsidR="003C5CE5">
          <w:rPr>
            <w:color w:val="0000FF"/>
            <w:u w:val="single"/>
            <w:lang w:val="fr-FR"/>
          </w:rPr>
          <w:t xml:space="preserve"> </w:t>
        </w:r>
        <w:proofErr w:type="spellStart"/>
        <w:r w:rsidR="003C5CE5">
          <w:rPr>
            <w:color w:val="0000FF"/>
            <w:u w:val="single"/>
            <w:lang w:val="fr-FR"/>
          </w:rPr>
          <w:t>Research</w:t>
        </w:r>
        <w:proofErr w:type="spellEnd"/>
        <w:r w:rsidR="003C5CE5">
          <w:rPr>
            <w:color w:val="0000FF"/>
            <w:lang w:val="fr-FR"/>
          </w:rPr>
          <w:t xml:space="preserve"> </w:t>
        </w:r>
      </w:hyperlink>
    </w:p>
    <w:p w:rsidR="00B3655C" w:rsidRDefault="00E5093D">
      <w:pPr>
        <w:numPr>
          <w:ilvl w:val="0"/>
          <w:numId w:val="1"/>
        </w:numPr>
        <w:pBdr>
          <w:top w:val="nil"/>
          <w:left w:val="nil"/>
          <w:bottom w:val="nil"/>
          <w:right w:val="nil"/>
          <w:between w:val="nil"/>
        </w:pBdr>
        <w:jc w:val="both"/>
        <w:rPr>
          <w:color w:val="0000FF"/>
          <w:lang w:val="fr-FR"/>
        </w:rPr>
      </w:pPr>
      <w:hyperlink r:id="rId17" w:history="1">
        <w:r w:rsidR="003C5CE5">
          <w:rPr>
            <w:color w:val="0000FF"/>
            <w:u w:val="single"/>
            <w:lang w:val="fr-FR"/>
          </w:rPr>
          <w:t xml:space="preserve">Série de blogs sur </w:t>
        </w:r>
        <w:proofErr w:type="spellStart"/>
        <w:r w:rsidR="003C5CE5">
          <w:rPr>
            <w:color w:val="0000FF"/>
            <w:u w:val="single"/>
            <w:lang w:val="fr-FR"/>
          </w:rPr>
          <w:t>Research</w:t>
        </w:r>
        <w:proofErr w:type="spellEnd"/>
        <w:r w:rsidR="003C5CE5">
          <w:rPr>
            <w:color w:val="0000FF"/>
            <w:u w:val="single"/>
            <w:lang w:val="fr-FR"/>
          </w:rPr>
          <w:t xml:space="preserve"> To Action</w:t>
        </w:r>
        <w:r w:rsidR="003C5CE5">
          <w:rPr>
            <w:color w:val="0000FF"/>
            <w:lang w:val="fr-FR"/>
          </w:rPr>
          <w:t xml:space="preserve"> </w:t>
        </w:r>
      </w:hyperlink>
    </w:p>
    <w:p w:rsidR="00B3655C" w:rsidRPr="00F02641" w:rsidRDefault="003C5CE5">
      <w:pPr>
        <w:numPr>
          <w:ilvl w:val="0"/>
          <w:numId w:val="3"/>
        </w:numPr>
        <w:pBdr>
          <w:top w:val="nil"/>
          <w:left w:val="nil"/>
          <w:bottom w:val="nil"/>
          <w:right w:val="nil"/>
          <w:between w:val="nil"/>
        </w:pBdr>
        <w:ind w:left="360"/>
        <w:jc w:val="both"/>
        <w:rPr>
          <w:color w:val="000000"/>
          <w:lang w:val="fr-FR"/>
        </w:rPr>
      </w:pPr>
      <w:proofErr w:type="spellStart"/>
      <w:r>
        <w:rPr>
          <w:b/>
          <w:bCs/>
          <w:color w:val="000000"/>
          <w:lang w:val="fr-FR"/>
        </w:rPr>
        <w:t>Doing</w:t>
      </w:r>
      <w:proofErr w:type="spellEnd"/>
      <w:r>
        <w:rPr>
          <w:b/>
          <w:bCs/>
          <w:color w:val="000000"/>
          <w:lang w:val="fr-FR"/>
        </w:rPr>
        <w:t xml:space="preserve"> </w:t>
      </w:r>
      <w:proofErr w:type="spellStart"/>
      <w:r>
        <w:rPr>
          <w:b/>
          <w:bCs/>
          <w:color w:val="000000"/>
          <w:lang w:val="fr-FR"/>
        </w:rPr>
        <w:t>Research</w:t>
      </w:r>
      <w:proofErr w:type="spellEnd"/>
      <w:r>
        <w:rPr>
          <w:b/>
          <w:bCs/>
          <w:color w:val="000000"/>
          <w:lang w:val="fr-FR"/>
        </w:rPr>
        <w:t xml:space="preserve"> : un programme mondial de recherche comparative</w:t>
      </w:r>
    </w:p>
    <w:p w:rsidR="00B3655C" w:rsidRPr="00F02641" w:rsidRDefault="003C5CE5">
      <w:pPr>
        <w:spacing w:after="0"/>
        <w:jc w:val="both"/>
        <w:rPr>
          <w:lang w:val="fr-FR"/>
        </w:rPr>
      </w:pPr>
      <w:r>
        <w:rPr>
          <w:lang w:val="fr-FR"/>
        </w:rPr>
        <w:t xml:space="preserve">Le présent appel à manifestation d'intérêt vise à commencer à établir des partenariats au niveau national pour mettre en œuvre le déploiement mondial du programme. </w:t>
      </w:r>
    </w:p>
    <w:p w:rsidR="00E45C0E" w:rsidRPr="00F02641" w:rsidRDefault="00E45C0E">
      <w:pPr>
        <w:spacing w:after="0"/>
        <w:jc w:val="both"/>
        <w:rPr>
          <w:lang w:val="fr-FR"/>
        </w:rPr>
      </w:pPr>
    </w:p>
    <w:p w:rsidR="00B3655C" w:rsidRPr="00F02641" w:rsidRDefault="003C5CE5">
      <w:pPr>
        <w:spacing w:after="0"/>
        <w:jc w:val="both"/>
        <w:rPr>
          <w:lang w:val="fr-FR"/>
        </w:rPr>
      </w:pPr>
      <w:r>
        <w:rPr>
          <w:lang w:val="fr-FR"/>
        </w:rPr>
        <w:t xml:space="preserve">Le déploiement mondial de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(2018-2023) comprend trois axes de travail interdépendants, chacun menant à des résultats spécifiques :</w:t>
      </w:r>
    </w:p>
    <w:p w:rsidR="00B3655C" w:rsidRPr="00F02641" w:rsidRDefault="003C5CE5">
      <w:pPr>
        <w:numPr>
          <w:ilvl w:val="0"/>
          <w:numId w:val="2"/>
        </w:numPr>
        <w:pBdr>
          <w:top w:val="nil"/>
          <w:left w:val="nil"/>
          <w:bottom w:val="nil"/>
          <w:right w:val="nil"/>
          <w:between w:val="nil"/>
        </w:pBdr>
        <w:spacing w:after="0"/>
        <w:jc w:val="both"/>
        <w:rPr>
          <w:lang w:val="fr-FR"/>
        </w:rPr>
      </w:pPr>
      <w:r>
        <w:rPr>
          <w:color w:val="000000"/>
          <w:lang w:val="fr-FR"/>
        </w:rPr>
        <w:t xml:space="preserve">Mise en œuvre de 40 évaluations </w:t>
      </w:r>
      <w:proofErr w:type="spellStart"/>
      <w:r>
        <w:rPr>
          <w:color w:val="000000"/>
          <w:lang w:val="fr-FR"/>
        </w:rPr>
        <w:t>Doing</w:t>
      </w:r>
      <w:proofErr w:type="spellEnd"/>
      <w:r>
        <w:rPr>
          <w:color w:val="000000"/>
          <w:lang w:val="fr-FR"/>
        </w:rPr>
        <w:t xml:space="preserve"> </w:t>
      </w:r>
      <w:proofErr w:type="spellStart"/>
      <w:r>
        <w:rPr>
          <w:color w:val="000000"/>
          <w:lang w:val="fr-FR"/>
        </w:rPr>
        <w:t>Research</w:t>
      </w:r>
      <w:proofErr w:type="spellEnd"/>
      <w:r>
        <w:rPr>
          <w:color w:val="000000"/>
          <w:lang w:val="fr-FR"/>
        </w:rPr>
        <w:t xml:space="preserve"> en partenariat avec des institut</w:t>
      </w:r>
      <w:r w:rsidR="00E21862">
        <w:rPr>
          <w:color w:val="000000"/>
          <w:lang w:val="fr-FR"/>
        </w:rPr>
        <w:t>s</w:t>
      </w:r>
      <w:r>
        <w:rPr>
          <w:color w:val="000000"/>
          <w:lang w:val="fr-FR"/>
        </w:rPr>
        <w:t xml:space="preserve"> nationa</w:t>
      </w:r>
      <w:r w:rsidR="00E21862">
        <w:rPr>
          <w:color w:val="000000"/>
          <w:lang w:val="fr-FR"/>
        </w:rPr>
        <w:t>ux</w:t>
      </w:r>
      <w:r>
        <w:rPr>
          <w:color w:val="000000"/>
          <w:lang w:val="fr-FR"/>
        </w:rPr>
        <w:t xml:space="preserve"> de recherche dans les pays en développement.</w:t>
      </w:r>
    </w:p>
    <w:p w:rsidR="00B3655C" w:rsidRPr="00F02641" w:rsidRDefault="003C5CE5">
      <w:pPr>
        <w:numPr>
          <w:ilvl w:val="0"/>
          <w:numId w:val="2"/>
        </w:numPr>
        <w:pBdr>
          <w:top w:val="nil"/>
          <w:left w:val="nil"/>
          <w:bottom w:val="nil"/>
          <w:right w:val="nil"/>
          <w:between w:val="nil"/>
        </w:pBdr>
        <w:spacing w:after="0"/>
        <w:jc w:val="both"/>
        <w:rPr>
          <w:lang w:val="fr-FR"/>
        </w:rPr>
      </w:pPr>
      <w:r>
        <w:rPr>
          <w:color w:val="000000"/>
          <w:lang w:val="fr-FR"/>
        </w:rPr>
        <w:t>Conservation d'un ensemble de données mondiales d'indicateurs pour évaluer et comparer les systèmes de recherche entre les pays sur la durée, afin de documenter les tendances mondiales et régionales en matière de production, de diffusion et d'adoption de politiques de recherche.</w:t>
      </w:r>
    </w:p>
    <w:p w:rsidR="00B3655C" w:rsidRPr="00F02641" w:rsidRDefault="003C5CE5">
      <w:pPr>
        <w:numPr>
          <w:ilvl w:val="0"/>
          <w:numId w:val="2"/>
        </w:numPr>
        <w:pBdr>
          <w:top w:val="nil"/>
          <w:left w:val="nil"/>
          <w:bottom w:val="nil"/>
          <w:right w:val="nil"/>
          <w:between w:val="nil"/>
        </w:pBdr>
        <w:jc w:val="both"/>
        <w:rPr>
          <w:lang w:val="fr-FR"/>
        </w:rPr>
      </w:pPr>
      <w:r>
        <w:rPr>
          <w:color w:val="000000"/>
          <w:lang w:val="fr-FR"/>
        </w:rPr>
        <w:t>Production de ressources de vulgarisation largement accessibles pour sensibiliser à l'importance des systèmes de recherche en sciences sociales pour le développement national, aux obstacles structurels à la perfor</w:t>
      </w:r>
      <w:r w:rsidR="00E21862">
        <w:rPr>
          <w:color w:val="000000"/>
          <w:lang w:val="fr-FR"/>
        </w:rPr>
        <w:t>mance des systèmes de recherche</w:t>
      </w:r>
      <w:r>
        <w:rPr>
          <w:color w:val="000000"/>
          <w:lang w:val="fr-FR"/>
        </w:rPr>
        <w:t xml:space="preserve"> et aux voies à suivre pour réformer les systèmes de recherche en améliorant les politiques et les efforts de financement.</w:t>
      </w:r>
    </w:p>
    <w:p w:rsidR="00B3655C" w:rsidRPr="00F02641" w:rsidRDefault="00E21862">
      <w:pPr>
        <w:jc w:val="both"/>
        <w:rPr>
          <w:lang w:val="fr-FR"/>
        </w:rPr>
      </w:pPr>
      <w:r>
        <w:rPr>
          <w:lang w:val="fr-FR"/>
        </w:rPr>
        <w:t xml:space="preserve">Le </w:t>
      </w:r>
      <w:r w:rsidR="003C5CE5">
        <w:rPr>
          <w:lang w:val="fr-FR"/>
        </w:rPr>
        <w:t>déploiement mondial commencera par une première série de cinq pays. Au cours de cette phase initiale, le GDN continuera à affiner la méthode d'évaluation grâce à une expertise externe et au</w:t>
      </w:r>
      <w:r>
        <w:rPr>
          <w:lang w:val="fr-FR"/>
        </w:rPr>
        <w:t>x</w:t>
      </w:r>
      <w:r w:rsidR="003C5CE5">
        <w:rPr>
          <w:lang w:val="fr-FR"/>
        </w:rPr>
        <w:t xml:space="preserve"> retour</w:t>
      </w:r>
      <w:r>
        <w:rPr>
          <w:lang w:val="fr-FR"/>
        </w:rPr>
        <w:t>s</w:t>
      </w:r>
      <w:r w:rsidR="003C5CE5">
        <w:rPr>
          <w:lang w:val="fr-FR"/>
        </w:rPr>
        <w:t xml:space="preserve"> direct</w:t>
      </w:r>
      <w:r>
        <w:rPr>
          <w:lang w:val="fr-FR"/>
        </w:rPr>
        <w:t>s</w:t>
      </w:r>
      <w:r w:rsidR="003C5CE5">
        <w:rPr>
          <w:lang w:val="fr-FR"/>
        </w:rPr>
        <w:t xml:space="preserve"> des correspondants nationaux. Le résultat attendu du déploiement mondial est une série de publications sur les systèmes de recherche et la question de leur performance, un ensemble de données en libre accès et une série d'événements physiques et en ligne (GDN 2017b).</w:t>
      </w:r>
    </w:p>
    <w:p w:rsidR="00B3655C" w:rsidRDefault="003C5CE5">
      <w:pPr>
        <w:keepNext/>
        <w:numPr>
          <w:ilvl w:val="0"/>
          <w:numId w:val="3"/>
        </w:numPr>
        <w:pBdr>
          <w:top w:val="nil"/>
          <w:left w:val="nil"/>
          <w:bottom w:val="nil"/>
          <w:right w:val="nil"/>
          <w:between w:val="nil"/>
        </w:pBdr>
        <w:ind w:left="360"/>
        <w:jc w:val="both"/>
        <w:rPr>
          <w:color w:val="000000"/>
        </w:rPr>
      </w:pPr>
      <w:proofErr w:type="spellStart"/>
      <w:r>
        <w:rPr>
          <w:b/>
          <w:bCs/>
          <w:color w:val="000000"/>
          <w:lang w:val="fr-FR"/>
        </w:rPr>
        <w:t>Doing</w:t>
      </w:r>
      <w:proofErr w:type="spellEnd"/>
      <w:r>
        <w:rPr>
          <w:b/>
          <w:bCs/>
          <w:color w:val="000000"/>
          <w:lang w:val="fr-FR"/>
        </w:rPr>
        <w:t xml:space="preserve"> </w:t>
      </w:r>
      <w:proofErr w:type="spellStart"/>
      <w:r>
        <w:rPr>
          <w:b/>
          <w:bCs/>
          <w:color w:val="000000"/>
          <w:lang w:val="fr-FR"/>
        </w:rPr>
        <w:t>Research</w:t>
      </w:r>
      <w:proofErr w:type="spellEnd"/>
      <w:r>
        <w:rPr>
          <w:b/>
          <w:bCs/>
          <w:color w:val="000000"/>
          <w:lang w:val="fr-FR"/>
        </w:rPr>
        <w:t xml:space="preserve"> </w:t>
      </w:r>
      <w:proofErr w:type="spellStart"/>
      <w:r>
        <w:rPr>
          <w:b/>
          <w:bCs/>
          <w:color w:val="000000"/>
          <w:lang w:val="fr-FR"/>
        </w:rPr>
        <w:t>Assessments</w:t>
      </w:r>
      <w:proofErr w:type="spellEnd"/>
    </w:p>
    <w:p w:rsidR="00B3655C" w:rsidRDefault="003C5CE5">
      <w:pPr>
        <w:jc w:val="both"/>
      </w:pPr>
      <w:r>
        <w:rPr>
          <w:lang w:val="fr-FR"/>
        </w:rPr>
        <w:t xml:space="preserve">L'outil central du programme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w:t>
      </w:r>
      <w:proofErr w:type="gramStart"/>
      <w:r>
        <w:rPr>
          <w:lang w:val="fr-FR"/>
        </w:rPr>
        <w:t>sont</w:t>
      </w:r>
      <w:proofErr w:type="gramEnd"/>
      <w:r>
        <w:rPr>
          <w:lang w:val="fr-FR"/>
        </w:rPr>
        <w:t xml:space="preserve"> les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w:t>
      </w:r>
      <w:proofErr w:type="spellStart"/>
      <w:r>
        <w:rPr>
          <w:lang w:val="fr-FR"/>
        </w:rPr>
        <w:t>Assessments</w:t>
      </w:r>
      <w:proofErr w:type="spellEnd"/>
      <w:r>
        <w:rPr>
          <w:lang w:val="fr-FR"/>
        </w:rPr>
        <w:t xml:space="preserve"> (DRA). </w:t>
      </w:r>
    </w:p>
    <w:p w:rsidR="00B3655C" w:rsidRPr="00F02641" w:rsidRDefault="003C5CE5">
      <w:pPr>
        <w:jc w:val="both"/>
        <w:rPr>
          <w:lang w:val="fr-FR"/>
        </w:rPr>
      </w:pPr>
      <w:r>
        <w:rPr>
          <w:lang w:val="fr-FR"/>
        </w:rPr>
        <w:t xml:space="preserve">Qu'est-ce qu'un DRA exactement? Il s'agit d'un module de recherche à méthode mixte qui permet une enquête comparative </w:t>
      </w:r>
      <w:r w:rsidR="00E21862">
        <w:rPr>
          <w:lang w:val="fr-FR"/>
        </w:rPr>
        <w:t xml:space="preserve">et </w:t>
      </w:r>
      <w:r>
        <w:rPr>
          <w:lang w:val="fr-FR"/>
        </w:rPr>
        <w:t>contextualisée d</w:t>
      </w:r>
      <w:r w:rsidR="00356956">
        <w:rPr>
          <w:lang w:val="fr-FR"/>
        </w:rPr>
        <w:t>’</w:t>
      </w:r>
      <w:r>
        <w:rPr>
          <w:lang w:val="fr-FR"/>
        </w:rPr>
        <w:t>un système de recherche national</w:t>
      </w:r>
      <w:r w:rsidR="00E21862">
        <w:rPr>
          <w:lang w:val="fr-FR"/>
        </w:rPr>
        <w:t>. Cela passe</w:t>
      </w:r>
      <w:r>
        <w:rPr>
          <w:lang w:val="fr-FR"/>
        </w:rPr>
        <w:t xml:space="preserve"> par l'examen des facteurs clés qui déterminent la production, la diffusion et l'adoption de</w:t>
      </w:r>
      <w:r w:rsidR="00E21862">
        <w:rPr>
          <w:lang w:val="fr-FR"/>
        </w:rPr>
        <w:t>s résultats de la</w:t>
      </w:r>
      <w:r>
        <w:rPr>
          <w:lang w:val="fr-FR"/>
        </w:rPr>
        <w:t xml:space="preserve"> recherche en sciences sociales dans un pays</w:t>
      </w:r>
      <w:r w:rsidR="00356956">
        <w:rPr>
          <w:lang w:val="fr-FR"/>
        </w:rPr>
        <w:t xml:space="preserve"> donné</w:t>
      </w:r>
      <w:r>
        <w:rPr>
          <w:lang w:val="fr-FR"/>
        </w:rPr>
        <w:t>. La méthode suit trois étapes analytiques : une analyse du contexte, une cartographie des parties prenantes et un cadre d'évaluation standardisé. Ce dernier fournit une approche structurée pour analyser les fonctions et les proce</w:t>
      </w:r>
      <w:r w:rsidR="00356956">
        <w:rPr>
          <w:lang w:val="fr-FR"/>
        </w:rPr>
        <w:t>ssus d'un système de recherche.</w:t>
      </w:r>
      <w:r>
        <w:rPr>
          <w:lang w:val="fr-FR"/>
        </w:rPr>
        <w:t xml:space="preserve"> Il est alimenté p</w:t>
      </w:r>
      <w:r w:rsidR="00356956">
        <w:rPr>
          <w:lang w:val="fr-FR"/>
        </w:rPr>
        <w:t>ar des indicateurs quantitatifs grâce à</w:t>
      </w:r>
      <w:r>
        <w:rPr>
          <w:lang w:val="fr-FR"/>
        </w:rPr>
        <w:t xml:space="preserve"> la collecte de données primaires et secondaires. Les DRA sont mis en œuvre par un institut de recherche locale, avec le soutien technique et les conseils de l'équipe mondiale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du GDN.</w:t>
      </w:r>
    </w:p>
    <w:p w:rsidR="00B3655C" w:rsidRPr="00F02641" w:rsidRDefault="003C5CE5">
      <w:pPr>
        <w:jc w:val="both"/>
        <w:rPr>
          <w:lang w:val="fr-FR"/>
        </w:rPr>
      </w:pPr>
      <w:r>
        <w:rPr>
          <w:lang w:val="fr-FR"/>
        </w:rPr>
        <w:t>Les DRA peuvent êt</w:t>
      </w:r>
      <w:r w:rsidR="00356956">
        <w:rPr>
          <w:lang w:val="fr-FR"/>
        </w:rPr>
        <w:t>re utilisés de plusieurs façons</w:t>
      </w:r>
      <w:r>
        <w:rPr>
          <w:lang w:val="fr-FR"/>
        </w:rPr>
        <w:t xml:space="preserve"> et permettent généralement de rassembler des données sur un système de recherche qui ne sont pas encore disponibles </w:t>
      </w:r>
      <w:r w:rsidR="00356956">
        <w:rPr>
          <w:lang w:val="fr-FR"/>
        </w:rPr>
        <w:t>à</w:t>
      </w:r>
      <w:r>
        <w:rPr>
          <w:lang w:val="fr-FR"/>
        </w:rPr>
        <w:t xml:space="preserve"> un seul endroit. Une telle évaluation peut servir de loupe pour identifier les aspects particuliers qui nécessitent l'attention du responsable de la réglementation, ou </w:t>
      </w:r>
      <w:r w:rsidR="00356956">
        <w:rPr>
          <w:lang w:val="fr-FR"/>
        </w:rPr>
        <w:t xml:space="preserve">bien </w:t>
      </w:r>
      <w:r>
        <w:rPr>
          <w:lang w:val="fr-FR"/>
        </w:rPr>
        <w:t xml:space="preserve">fournir un point de repère ou une base de référence pour établir une stratégie d'investissement dans le renforcement des capacités sur des aspects tels que la production de la recherche, sa diffusion ou son utilisation. Les données qui ressortent de l'évaluation seront également mises à la disposition de la communauté des chercheurs afin de favoriser la poursuite des recherches sur les performances des systèmes. </w:t>
      </w:r>
    </w:p>
    <w:p w:rsidR="00B3655C" w:rsidRDefault="003C5CE5">
      <w:pPr>
        <w:numPr>
          <w:ilvl w:val="0"/>
          <w:numId w:val="3"/>
        </w:numPr>
        <w:pBdr>
          <w:top w:val="nil"/>
          <w:left w:val="nil"/>
          <w:bottom w:val="nil"/>
          <w:right w:val="nil"/>
          <w:between w:val="nil"/>
        </w:pBdr>
        <w:ind w:left="360"/>
        <w:jc w:val="both"/>
        <w:rPr>
          <w:color w:val="000000"/>
        </w:rPr>
      </w:pPr>
      <w:r>
        <w:rPr>
          <w:b/>
          <w:bCs/>
          <w:color w:val="000000"/>
          <w:lang w:val="fr-FR"/>
        </w:rPr>
        <w:lastRenderedPageBreak/>
        <w:t>Engagement des principales parties prenantes</w:t>
      </w:r>
    </w:p>
    <w:p w:rsidR="00B3655C" w:rsidRPr="00356956" w:rsidRDefault="003C5CE5">
      <w:pPr>
        <w:jc w:val="both"/>
        <w:rPr>
          <w:lang w:val="fr-FR"/>
        </w:rPr>
      </w:pPr>
      <w:r>
        <w:rPr>
          <w:lang w:val="fr-FR"/>
        </w:rPr>
        <w:t xml:space="preserve">Les correspondants nationaux sont censés interagir et mobiliser un certain nombre de parties prenantes, </w:t>
      </w:r>
      <w:r w:rsidR="00356956">
        <w:rPr>
          <w:lang w:val="fr-FR"/>
        </w:rPr>
        <w:t>que ça soit</w:t>
      </w:r>
      <w:r>
        <w:rPr>
          <w:lang w:val="fr-FR"/>
        </w:rPr>
        <w:t xml:space="preserve"> pendant la phase de recherche </w:t>
      </w:r>
      <w:r w:rsidR="00356956">
        <w:rPr>
          <w:lang w:val="fr-FR"/>
        </w:rPr>
        <w:t>ou lors de</w:t>
      </w:r>
      <w:r>
        <w:rPr>
          <w:lang w:val="fr-FR"/>
        </w:rPr>
        <w:t xml:space="preserve"> la diffusion des résultats de l'évaluation. Ces parties prenantes comprennent au moins :</w:t>
      </w:r>
    </w:p>
    <w:p w:rsidR="00B3655C" w:rsidRPr="00F02641" w:rsidRDefault="003C5CE5">
      <w:pPr>
        <w:numPr>
          <w:ilvl w:val="0"/>
          <w:numId w:val="1"/>
        </w:numPr>
        <w:pBdr>
          <w:top w:val="nil"/>
          <w:left w:val="nil"/>
          <w:bottom w:val="nil"/>
          <w:right w:val="nil"/>
          <w:between w:val="nil"/>
        </w:pBdr>
        <w:spacing w:after="0"/>
        <w:ind w:left="643"/>
        <w:jc w:val="both"/>
        <w:rPr>
          <w:lang w:val="fr-FR"/>
        </w:rPr>
      </w:pPr>
      <w:r>
        <w:rPr>
          <w:color w:val="000000"/>
          <w:u w:val="single"/>
          <w:lang w:val="fr-FR"/>
        </w:rPr>
        <w:t>Les bénéficiaires directs</w:t>
      </w:r>
      <w:r>
        <w:rPr>
          <w:color w:val="000000"/>
          <w:lang w:val="fr-FR"/>
        </w:rPr>
        <w:t xml:space="preserve"> : les décideurs et régulateurs nationaux, les bailleurs de fonds de la recherche nationaux et internationaux et les administrateurs de la recherche.</w:t>
      </w:r>
    </w:p>
    <w:p w:rsidR="00B3655C" w:rsidRPr="00F02641" w:rsidRDefault="003C5CE5">
      <w:pPr>
        <w:numPr>
          <w:ilvl w:val="0"/>
          <w:numId w:val="1"/>
        </w:numPr>
        <w:pBdr>
          <w:top w:val="nil"/>
          <w:left w:val="nil"/>
          <w:bottom w:val="nil"/>
          <w:right w:val="nil"/>
          <w:between w:val="nil"/>
        </w:pBdr>
        <w:ind w:left="643"/>
        <w:jc w:val="both"/>
        <w:rPr>
          <w:lang w:val="fr-FR"/>
        </w:rPr>
      </w:pPr>
      <w:r>
        <w:rPr>
          <w:color w:val="000000"/>
          <w:u w:val="single"/>
          <w:lang w:val="fr-FR"/>
        </w:rPr>
        <w:t>Les bénéficiaires indirects</w:t>
      </w:r>
      <w:r>
        <w:rPr>
          <w:color w:val="000000"/>
          <w:lang w:val="fr-FR"/>
        </w:rPr>
        <w:t xml:space="preserve"> comprennent les universitaires, les citoyens et les médias.</w:t>
      </w:r>
    </w:p>
    <w:p w:rsidR="00B3655C" w:rsidRPr="00F02641" w:rsidRDefault="003C5CE5">
      <w:pPr>
        <w:jc w:val="both"/>
        <w:rPr>
          <w:lang w:val="fr-FR"/>
        </w:rPr>
      </w:pPr>
      <w:r>
        <w:rPr>
          <w:lang w:val="fr-FR"/>
        </w:rPr>
        <w:t xml:space="preserve">Pendant la phase de recherche (mise en œuvre des DRA), les principales parties prenantes seront les acteurs de la recherche, </w:t>
      </w:r>
      <w:r w:rsidR="00356956">
        <w:rPr>
          <w:lang w:val="fr-FR"/>
        </w:rPr>
        <w:t>regroupés en quatre catégories :</w:t>
      </w:r>
      <w:r>
        <w:rPr>
          <w:lang w:val="fr-FR"/>
        </w:rPr>
        <w:t xml:space="preserve"> établissements d'ens</w:t>
      </w:r>
      <w:r w:rsidR="00356956">
        <w:rPr>
          <w:lang w:val="fr-FR"/>
        </w:rPr>
        <w:t>eignement supérieur ;</w:t>
      </w:r>
      <w:r>
        <w:rPr>
          <w:lang w:val="fr-FR"/>
        </w:rPr>
        <w:t xml:space="preserve"> bail</w:t>
      </w:r>
      <w:r w:rsidR="00356956">
        <w:rPr>
          <w:lang w:val="fr-FR"/>
        </w:rPr>
        <w:t>leurs de fonds et gouvernement ; industrie ;</w:t>
      </w:r>
      <w:r>
        <w:rPr>
          <w:lang w:val="fr-FR"/>
        </w:rPr>
        <w:t xml:space="preserve"> société civile. La phase de cartographie des DRA permettra d'identifier les sous-catégories pertinentes : Les EES peuvent être des un</w:t>
      </w:r>
      <w:r w:rsidR="00356956">
        <w:rPr>
          <w:lang w:val="fr-FR"/>
        </w:rPr>
        <w:t>iversités publiques ou privées ;</w:t>
      </w:r>
      <w:r>
        <w:rPr>
          <w:lang w:val="fr-FR"/>
        </w:rPr>
        <w:t xml:space="preserve"> l'industrie comprend les </w:t>
      </w:r>
      <w:proofErr w:type="spellStart"/>
      <w:r>
        <w:rPr>
          <w:lang w:val="fr-FR"/>
        </w:rPr>
        <w:t>think</w:t>
      </w:r>
      <w:proofErr w:type="spellEnd"/>
      <w:r>
        <w:rPr>
          <w:lang w:val="fr-FR"/>
        </w:rPr>
        <w:t xml:space="preserve"> tanks et les cabi</w:t>
      </w:r>
      <w:r w:rsidR="00356956">
        <w:rPr>
          <w:lang w:val="fr-FR"/>
        </w:rPr>
        <w:t>nets de conseil à but lucratif ;</w:t>
      </w:r>
      <w:r>
        <w:rPr>
          <w:lang w:val="fr-FR"/>
        </w:rPr>
        <w:t xml:space="preserve"> la société civile </w:t>
      </w:r>
      <w:r w:rsidR="00356956">
        <w:rPr>
          <w:lang w:val="fr-FR"/>
        </w:rPr>
        <w:t>regroupe</w:t>
      </w:r>
      <w:r>
        <w:rPr>
          <w:lang w:val="fr-FR"/>
        </w:rPr>
        <w:t xml:space="preserve"> les ONG, les groupes de réflexion à but non lucratif et les médias. Les gouvernements et les organismes de financement constituen</w:t>
      </w:r>
      <w:r w:rsidR="00356956">
        <w:rPr>
          <w:lang w:val="fr-FR"/>
        </w:rPr>
        <w:t>t la catégorie la plus hybride :</w:t>
      </w:r>
      <w:r>
        <w:rPr>
          <w:lang w:val="fr-FR"/>
        </w:rPr>
        <w:t xml:space="preserve"> ils comprennent les ministères nationaux et les conseils de recherche, ainsi que les donateurs étrangers publics et privés. L'équipe nationale de recherche est censée travailler en étroite collaboration avec ces acteurs afin de disposer de données complètes sur le système de recherche.</w:t>
      </w:r>
    </w:p>
    <w:p w:rsidR="00B3655C" w:rsidRPr="00F02641" w:rsidRDefault="003C5CE5">
      <w:pPr>
        <w:numPr>
          <w:ilvl w:val="0"/>
          <w:numId w:val="3"/>
        </w:numPr>
        <w:pBdr>
          <w:top w:val="nil"/>
          <w:left w:val="nil"/>
          <w:bottom w:val="nil"/>
          <w:right w:val="nil"/>
          <w:between w:val="nil"/>
        </w:pBdr>
        <w:ind w:left="360"/>
        <w:jc w:val="both"/>
        <w:rPr>
          <w:color w:val="000000"/>
          <w:lang w:val="fr-FR"/>
        </w:rPr>
      </w:pPr>
      <w:r>
        <w:rPr>
          <w:b/>
          <w:bCs/>
          <w:color w:val="000000"/>
          <w:lang w:val="fr-FR"/>
        </w:rPr>
        <w:t>Activités à réaliser par les équipes nationales de recherche</w:t>
      </w:r>
    </w:p>
    <w:p w:rsidR="00B3655C" w:rsidRPr="00F02641" w:rsidRDefault="003C5CE5">
      <w:pPr>
        <w:jc w:val="both"/>
        <w:rPr>
          <w:lang w:val="fr-FR"/>
        </w:rPr>
      </w:pPr>
      <w:r>
        <w:rPr>
          <w:lang w:val="fr-FR"/>
        </w:rPr>
        <w:t xml:space="preserve">Le Global </w:t>
      </w:r>
      <w:proofErr w:type="spellStart"/>
      <w:r>
        <w:rPr>
          <w:lang w:val="fr-FR"/>
        </w:rPr>
        <w:t>Development</w:t>
      </w:r>
      <w:proofErr w:type="spellEnd"/>
      <w:r>
        <w:rPr>
          <w:lang w:val="fr-FR"/>
        </w:rPr>
        <w:t xml:space="preserve"> Network (GDN) recrute des équipes de recherche nationales multidisciplinaires basées dans des instituts de recherche de pays en développement, pour agir en tant que correspondant</w:t>
      </w:r>
      <w:r w:rsidR="00356956">
        <w:rPr>
          <w:lang w:val="fr-FR"/>
        </w:rPr>
        <w:t>es nationales</w:t>
      </w:r>
      <w:r>
        <w:rPr>
          <w:lang w:val="fr-FR"/>
        </w:rPr>
        <w:t xml:space="preserve"> du programme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et partenaires nationaux de mise en œuvre des évaluations </w:t>
      </w:r>
      <w:proofErr w:type="spellStart"/>
      <w:r>
        <w:rPr>
          <w:lang w:val="fr-FR"/>
        </w:rPr>
        <w:t>Doing</w:t>
      </w:r>
      <w:proofErr w:type="spellEnd"/>
      <w:r>
        <w:rPr>
          <w:lang w:val="fr-FR"/>
        </w:rPr>
        <w:t xml:space="preserve"> </w:t>
      </w:r>
      <w:proofErr w:type="spellStart"/>
      <w:r>
        <w:rPr>
          <w:lang w:val="fr-FR"/>
        </w:rPr>
        <w:t>Research</w:t>
      </w:r>
      <w:proofErr w:type="spellEnd"/>
      <w:r>
        <w:rPr>
          <w:lang w:val="fr-FR"/>
        </w:rPr>
        <w:t>.  Ces équipes seront responsables de la mise en œuvre des DRA dans leur pays d'opération. Ce faisant, elles assureront la liaison avec les principales parties prenantes, comme décrit au point 5 ci-dessus, et organiseront la diffusion des r</w:t>
      </w:r>
      <w:r w:rsidR="00356956">
        <w:rPr>
          <w:lang w:val="fr-FR"/>
        </w:rPr>
        <w:t>ésultats au niveau national. Le</w:t>
      </w:r>
      <w:r>
        <w:rPr>
          <w:lang w:val="fr-FR"/>
        </w:rPr>
        <w:t xml:space="preserve"> principa</w:t>
      </w:r>
      <w:r w:rsidR="00356956">
        <w:rPr>
          <w:lang w:val="fr-FR"/>
        </w:rPr>
        <w:t>l résultat</w:t>
      </w:r>
      <w:r>
        <w:rPr>
          <w:lang w:val="fr-FR"/>
        </w:rPr>
        <w:t xml:space="preserve"> des DRA ser</w:t>
      </w:r>
      <w:r w:rsidR="00356956">
        <w:rPr>
          <w:lang w:val="fr-FR"/>
        </w:rPr>
        <w:t>a</w:t>
      </w:r>
      <w:r>
        <w:rPr>
          <w:lang w:val="fr-FR"/>
        </w:rPr>
        <w:t xml:space="preserve"> la production d'un rapport officiel sur le système national de recherche en sciences sociales. </w:t>
      </w:r>
    </w:p>
    <w:p w:rsidR="00B3655C" w:rsidRPr="00F02641" w:rsidRDefault="003C5CE5">
      <w:pPr>
        <w:jc w:val="both"/>
        <w:rPr>
          <w:lang w:val="fr-FR"/>
        </w:rPr>
      </w:pPr>
      <w:r>
        <w:rPr>
          <w:lang w:val="fr-FR"/>
        </w:rPr>
        <w:t xml:space="preserve">L'engagement des correspondants nationaux dans le programme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peut être décomposé en trois phases :</w:t>
      </w:r>
    </w:p>
    <w:p w:rsidR="00B3655C" w:rsidRDefault="00356956">
      <w:pPr>
        <w:spacing w:after="0"/>
        <w:jc w:val="both"/>
        <w:rPr>
          <w:u w:val="single"/>
        </w:rPr>
      </w:pPr>
      <w:r>
        <w:rPr>
          <w:u w:val="single"/>
          <w:lang w:val="fr-FR"/>
        </w:rPr>
        <w:t>Création :</w:t>
      </w:r>
    </w:p>
    <w:p w:rsidR="00B3655C" w:rsidRPr="00F02641" w:rsidRDefault="003C5CE5">
      <w:pPr>
        <w:numPr>
          <w:ilvl w:val="0"/>
          <w:numId w:val="1"/>
        </w:numPr>
        <w:pBdr>
          <w:top w:val="nil"/>
          <w:left w:val="nil"/>
          <w:bottom w:val="nil"/>
          <w:right w:val="nil"/>
          <w:between w:val="nil"/>
        </w:pBdr>
        <w:spacing w:after="0"/>
        <w:ind w:left="643"/>
        <w:jc w:val="both"/>
        <w:rPr>
          <w:lang w:val="fr-FR"/>
        </w:rPr>
      </w:pPr>
      <w:r>
        <w:rPr>
          <w:color w:val="000000"/>
          <w:lang w:val="fr-FR"/>
        </w:rPr>
        <w:t xml:space="preserve">Revue documentaire des documents du programme </w:t>
      </w:r>
      <w:proofErr w:type="spellStart"/>
      <w:r>
        <w:rPr>
          <w:color w:val="000000"/>
          <w:lang w:val="fr-FR"/>
        </w:rPr>
        <w:t>Doing</w:t>
      </w:r>
      <w:proofErr w:type="spellEnd"/>
      <w:r>
        <w:rPr>
          <w:color w:val="000000"/>
          <w:lang w:val="fr-FR"/>
        </w:rPr>
        <w:t xml:space="preserve"> </w:t>
      </w:r>
      <w:proofErr w:type="spellStart"/>
      <w:r>
        <w:rPr>
          <w:color w:val="000000"/>
          <w:lang w:val="fr-FR"/>
        </w:rPr>
        <w:t>Research</w:t>
      </w:r>
      <w:proofErr w:type="spellEnd"/>
      <w:r>
        <w:rPr>
          <w:color w:val="000000"/>
          <w:lang w:val="fr-FR"/>
        </w:rPr>
        <w:t>.</w:t>
      </w:r>
    </w:p>
    <w:p w:rsidR="00B3655C" w:rsidRPr="00F02641" w:rsidRDefault="003C5CE5">
      <w:pPr>
        <w:numPr>
          <w:ilvl w:val="0"/>
          <w:numId w:val="1"/>
        </w:numPr>
        <w:pBdr>
          <w:top w:val="nil"/>
          <w:left w:val="nil"/>
          <w:bottom w:val="nil"/>
          <w:right w:val="nil"/>
          <w:between w:val="nil"/>
        </w:pBdr>
        <w:spacing w:after="0"/>
        <w:ind w:left="643"/>
        <w:jc w:val="both"/>
        <w:rPr>
          <w:lang w:val="fr-FR"/>
        </w:rPr>
      </w:pPr>
      <w:r>
        <w:rPr>
          <w:color w:val="000000"/>
          <w:lang w:val="fr-FR"/>
        </w:rPr>
        <w:t>Examen documentaire de la littérature de recherche et de politique sur le système national de recherche en sciences sociales, en particulier la littérature qui traite du contexte et des acteurs.</w:t>
      </w:r>
    </w:p>
    <w:p w:rsidR="00B3655C" w:rsidRPr="00F02641" w:rsidRDefault="003C5CE5">
      <w:pPr>
        <w:numPr>
          <w:ilvl w:val="0"/>
          <w:numId w:val="1"/>
        </w:numPr>
        <w:pBdr>
          <w:top w:val="nil"/>
          <w:left w:val="nil"/>
          <w:bottom w:val="nil"/>
          <w:right w:val="nil"/>
          <w:between w:val="nil"/>
        </w:pBdr>
        <w:ind w:left="643"/>
        <w:jc w:val="both"/>
        <w:rPr>
          <w:lang w:val="fr-FR"/>
        </w:rPr>
      </w:pPr>
      <w:r>
        <w:rPr>
          <w:color w:val="000000"/>
          <w:lang w:val="fr-FR"/>
        </w:rPr>
        <w:t>Réunion de lancement avec le GDN</w:t>
      </w:r>
      <w:r w:rsidR="00356956">
        <w:rPr>
          <w:color w:val="000000"/>
          <w:lang w:val="fr-FR"/>
        </w:rPr>
        <w:t>.</w:t>
      </w:r>
    </w:p>
    <w:p w:rsidR="00B3655C" w:rsidRDefault="00356956">
      <w:pPr>
        <w:keepNext/>
        <w:spacing w:after="0"/>
        <w:jc w:val="both"/>
        <w:rPr>
          <w:u w:val="single"/>
        </w:rPr>
      </w:pPr>
      <w:r>
        <w:rPr>
          <w:u w:val="single"/>
          <w:lang w:val="fr-FR"/>
        </w:rPr>
        <w:t>Recherche :</w:t>
      </w:r>
    </w:p>
    <w:p w:rsidR="00B3655C" w:rsidRPr="00F02641" w:rsidRDefault="00356956">
      <w:pPr>
        <w:numPr>
          <w:ilvl w:val="0"/>
          <w:numId w:val="1"/>
        </w:numPr>
        <w:pBdr>
          <w:top w:val="nil"/>
          <w:left w:val="nil"/>
          <w:bottom w:val="nil"/>
          <w:right w:val="nil"/>
          <w:between w:val="nil"/>
        </w:pBdr>
        <w:spacing w:after="0"/>
        <w:ind w:left="643"/>
        <w:jc w:val="both"/>
        <w:rPr>
          <w:lang w:val="fr-FR"/>
        </w:rPr>
      </w:pPr>
      <w:r>
        <w:rPr>
          <w:color w:val="000000"/>
          <w:lang w:val="fr-FR"/>
        </w:rPr>
        <w:t>Étape 1 :</w:t>
      </w:r>
      <w:r w:rsidR="003C5CE5">
        <w:rPr>
          <w:color w:val="000000"/>
          <w:lang w:val="fr-FR"/>
        </w:rPr>
        <w:t xml:space="preserve"> Conte</w:t>
      </w:r>
      <w:r>
        <w:rPr>
          <w:color w:val="000000"/>
          <w:lang w:val="fr-FR"/>
        </w:rPr>
        <w:t>xtualisation de la méthode DRA :</w:t>
      </w:r>
      <w:r w:rsidR="003C5CE5">
        <w:rPr>
          <w:color w:val="000000"/>
          <w:lang w:val="fr-FR"/>
        </w:rPr>
        <w:t xml:space="preserve"> examen qualitatif des éléments contextuels économiques, politiques,</w:t>
      </w:r>
      <w:r>
        <w:rPr>
          <w:color w:val="000000"/>
          <w:lang w:val="fr-FR"/>
        </w:rPr>
        <w:t xml:space="preserve"> historiques et internationaux ;</w:t>
      </w:r>
      <w:r w:rsidR="003C5CE5">
        <w:rPr>
          <w:color w:val="000000"/>
          <w:lang w:val="fr-FR"/>
        </w:rPr>
        <w:t xml:space="preserve"> identification des principales parties prenantes et des sources de données.</w:t>
      </w:r>
    </w:p>
    <w:p w:rsidR="00B3655C" w:rsidRPr="00F02641" w:rsidRDefault="00015933">
      <w:pPr>
        <w:numPr>
          <w:ilvl w:val="0"/>
          <w:numId w:val="1"/>
        </w:numPr>
        <w:pBdr>
          <w:top w:val="nil"/>
          <w:left w:val="nil"/>
          <w:bottom w:val="nil"/>
          <w:right w:val="nil"/>
          <w:between w:val="nil"/>
        </w:pBdr>
        <w:spacing w:after="0"/>
        <w:ind w:left="643"/>
        <w:jc w:val="both"/>
        <w:rPr>
          <w:lang w:val="fr-FR"/>
        </w:rPr>
      </w:pPr>
      <w:r>
        <w:rPr>
          <w:color w:val="000000"/>
          <w:lang w:val="fr-FR"/>
        </w:rPr>
        <w:lastRenderedPageBreak/>
        <w:t>Étape 2 :</w:t>
      </w:r>
      <w:r w:rsidR="003C5CE5">
        <w:rPr>
          <w:color w:val="000000"/>
          <w:lang w:val="fr-FR"/>
        </w:rPr>
        <w:t xml:space="preserve"> Collecte de données avec cart</w:t>
      </w:r>
      <w:r>
        <w:rPr>
          <w:color w:val="000000"/>
          <w:lang w:val="fr-FR"/>
        </w:rPr>
        <w:t>ographie des parties prenantes ;</w:t>
      </w:r>
      <w:r w:rsidR="003C5CE5">
        <w:rPr>
          <w:color w:val="000000"/>
          <w:lang w:val="fr-FR"/>
        </w:rPr>
        <w:t xml:space="preserve"> collecte de données primaires par le bi</w:t>
      </w:r>
      <w:r>
        <w:rPr>
          <w:color w:val="000000"/>
          <w:lang w:val="fr-FR"/>
        </w:rPr>
        <w:t>ais d'enquêtes et d'entretiens ;</w:t>
      </w:r>
      <w:r w:rsidR="003C5CE5">
        <w:rPr>
          <w:color w:val="000000"/>
          <w:lang w:val="fr-FR"/>
        </w:rPr>
        <w:t xml:space="preserve"> collecte de données secondaires, y compris des sources de données nationales et internationales.</w:t>
      </w:r>
    </w:p>
    <w:p w:rsidR="00B3655C" w:rsidRPr="00F02641" w:rsidRDefault="00015933">
      <w:pPr>
        <w:numPr>
          <w:ilvl w:val="0"/>
          <w:numId w:val="1"/>
        </w:numPr>
        <w:pBdr>
          <w:top w:val="nil"/>
          <w:left w:val="nil"/>
          <w:bottom w:val="nil"/>
          <w:right w:val="nil"/>
          <w:between w:val="nil"/>
        </w:pBdr>
        <w:ind w:left="643"/>
        <w:jc w:val="both"/>
        <w:rPr>
          <w:lang w:val="fr-FR"/>
        </w:rPr>
      </w:pPr>
      <w:r>
        <w:rPr>
          <w:color w:val="000000"/>
          <w:lang w:val="fr-FR"/>
        </w:rPr>
        <w:t>Étape 3 :</w:t>
      </w:r>
      <w:r w:rsidR="003C5CE5">
        <w:rPr>
          <w:color w:val="000000"/>
          <w:lang w:val="fr-FR"/>
        </w:rPr>
        <w:t xml:space="preserve"> Analyse qualitative et quantitative des déterminants de la perf</w:t>
      </w:r>
      <w:r>
        <w:rPr>
          <w:color w:val="000000"/>
          <w:lang w:val="fr-FR"/>
        </w:rPr>
        <w:t>ormance du système de recherche</w:t>
      </w:r>
      <w:r w:rsidR="003C5CE5">
        <w:rPr>
          <w:color w:val="000000"/>
          <w:lang w:val="fr-FR"/>
        </w:rPr>
        <w:t xml:space="preserve"> et production d'un rapport </w:t>
      </w:r>
      <w:proofErr w:type="spellStart"/>
      <w:r w:rsidR="003C5CE5">
        <w:rPr>
          <w:color w:val="000000"/>
          <w:lang w:val="fr-FR"/>
        </w:rPr>
        <w:t>Doing</w:t>
      </w:r>
      <w:proofErr w:type="spellEnd"/>
      <w:r w:rsidR="003C5CE5">
        <w:rPr>
          <w:color w:val="000000"/>
          <w:lang w:val="fr-FR"/>
        </w:rPr>
        <w:t xml:space="preserve"> </w:t>
      </w:r>
      <w:proofErr w:type="spellStart"/>
      <w:r w:rsidR="003C5CE5">
        <w:rPr>
          <w:color w:val="000000"/>
          <w:lang w:val="fr-FR"/>
        </w:rPr>
        <w:t>Research</w:t>
      </w:r>
      <w:proofErr w:type="spellEnd"/>
      <w:r w:rsidR="003C5CE5">
        <w:rPr>
          <w:color w:val="000000"/>
          <w:lang w:val="fr-FR"/>
        </w:rPr>
        <w:t xml:space="preserve"> spécifique au pays.</w:t>
      </w:r>
    </w:p>
    <w:p w:rsidR="00B3655C" w:rsidRDefault="00015933">
      <w:r>
        <w:rPr>
          <w:u w:val="single"/>
          <w:lang w:val="fr-FR"/>
        </w:rPr>
        <w:t>Diffusion :</w:t>
      </w:r>
    </w:p>
    <w:p w:rsidR="00B3655C" w:rsidRPr="00F02641" w:rsidRDefault="003C5CE5">
      <w:pPr>
        <w:numPr>
          <w:ilvl w:val="0"/>
          <w:numId w:val="1"/>
        </w:numPr>
        <w:pBdr>
          <w:top w:val="nil"/>
          <w:left w:val="nil"/>
          <w:bottom w:val="nil"/>
          <w:right w:val="nil"/>
          <w:between w:val="nil"/>
        </w:pBdr>
        <w:spacing w:after="0"/>
        <w:ind w:left="643"/>
        <w:jc w:val="both"/>
        <w:rPr>
          <w:lang w:val="fr-FR"/>
        </w:rPr>
      </w:pPr>
      <w:r>
        <w:rPr>
          <w:color w:val="000000"/>
          <w:lang w:val="fr-FR"/>
        </w:rPr>
        <w:t>Approche proactive à travers des interventions dans des événements physiques et en ligne.</w:t>
      </w:r>
    </w:p>
    <w:p w:rsidR="00B3655C" w:rsidRPr="00F02641" w:rsidRDefault="003C5CE5">
      <w:pPr>
        <w:numPr>
          <w:ilvl w:val="0"/>
          <w:numId w:val="1"/>
        </w:numPr>
        <w:pBdr>
          <w:top w:val="nil"/>
          <w:left w:val="nil"/>
          <w:bottom w:val="nil"/>
          <w:right w:val="nil"/>
          <w:between w:val="nil"/>
        </w:pBdr>
        <w:spacing w:after="0"/>
        <w:ind w:left="643"/>
        <w:jc w:val="both"/>
        <w:rPr>
          <w:lang w:val="fr-FR"/>
        </w:rPr>
      </w:pPr>
      <w:r>
        <w:rPr>
          <w:color w:val="000000"/>
          <w:lang w:val="fr-FR"/>
        </w:rPr>
        <w:t>Production de supports de diffusion tels que des vidéos, des infographies, des notes de synthèse.</w:t>
      </w:r>
    </w:p>
    <w:p w:rsidR="00B3655C" w:rsidRPr="00F02641" w:rsidRDefault="003C5CE5">
      <w:pPr>
        <w:numPr>
          <w:ilvl w:val="0"/>
          <w:numId w:val="1"/>
        </w:numPr>
        <w:pBdr>
          <w:top w:val="nil"/>
          <w:left w:val="nil"/>
          <w:bottom w:val="nil"/>
          <w:right w:val="nil"/>
          <w:between w:val="nil"/>
        </w:pBdr>
        <w:ind w:left="643"/>
        <w:jc w:val="both"/>
        <w:rPr>
          <w:lang w:val="fr-FR"/>
        </w:rPr>
      </w:pPr>
      <w:r>
        <w:rPr>
          <w:color w:val="000000"/>
          <w:lang w:val="fr-FR"/>
        </w:rPr>
        <w:t>Organisation d'un événement national de diffusion de haut niveau avec les principales parties prenantes.</w:t>
      </w:r>
    </w:p>
    <w:p w:rsidR="00B3655C" w:rsidRPr="00F02641" w:rsidRDefault="003C5CE5">
      <w:pPr>
        <w:jc w:val="both"/>
        <w:rPr>
          <w:lang w:val="fr-FR"/>
        </w:rPr>
      </w:pPr>
      <w:r>
        <w:rPr>
          <w:lang w:val="fr-FR"/>
        </w:rPr>
        <w:t xml:space="preserve">Les correspondants nationaux devront faire partie du programme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sur une période de moyen à long terme, pourront être amenés à poursuivre leurs recherches et à produire des rapports régionaux ou </w:t>
      </w:r>
      <w:proofErr w:type="spellStart"/>
      <w:r>
        <w:rPr>
          <w:lang w:val="fr-FR"/>
        </w:rPr>
        <w:t>sous-régionaux</w:t>
      </w:r>
      <w:proofErr w:type="spellEnd"/>
      <w:r>
        <w:rPr>
          <w:lang w:val="fr-FR"/>
        </w:rPr>
        <w:t xml:space="preserve">, à participer à des réunions </w:t>
      </w:r>
      <w:r w:rsidR="00F35516">
        <w:rPr>
          <w:lang w:val="fr-FR"/>
        </w:rPr>
        <w:t>internationales ou à collaborer</w:t>
      </w:r>
      <w:r>
        <w:rPr>
          <w:lang w:val="fr-FR"/>
        </w:rPr>
        <w:t xml:space="preserve"> avec des correspo</w:t>
      </w:r>
      <w:r w:rsidR="00F35516">
        <w:rPr>
          <w:lang w:val="fr-FR"/>
        </w:rPr>
        <w:t>ndants nationaux d'autres pays le cas échéant.</w:t>
      </w:r>
    </w:p>
    <w:p w:rsidR="00B3655C" w:rsidRDefault="003C5CE5">
      <w:pPr>
        <w:numPr>
          <w:ilvl w:val="0"/>
          <w:numId w:val="3"/>
        </w:numPr>
        <w:pBdr>
          <w:top w:val="nil"/>
          <w:left w:val="nil"/>
          <w:bottom w:val="nil"/>
          <w:right w:val="nil"/>
          <w:between w:val="nil"/>
        </w:pBdr>
        <w:ind w:left="360"/>
        <w:jc w:val="both"/>
        <w:rPr>
          <w:color w:val="000000"/>
        </w:rPr>
      </w:pPr>
      <w:r>
        <w:rPr>
          <w:b/>
          <w:bCs/>
          <w:color w:val="000000"/>
          <w:lang w:val="fr-FR"/>
        </w:rPr>
        <w:t>Processus de candidature</w:t>
      </w:r>
    </w:p>
    <w:p w:rsidR="00B3655C" w:rsidRPr="00F02641" w:rsidRDefault="003C5CE5">
      <w:pPr>
        <w:jc w:val="both"/>
        <w:rPr>
          <w:lang w:val="fr-FR"/>
        </w:rPr>
      </w:pPr>
      <w:r>
        <w:rPr>
          <w:lang w:val="fr-FR"/>
        </w:rPr>
        <w:t xml:space="preserve">Les équipes de recherche souhaitant postuler doivent envoyer leur manifestation d'intérêt dans les meilleurs délais, en joignant les documents énumérés ci-dessous à doingresearch@gdn.int.  </w:t>
      </w:r>
    </w:p>
    <w:p w:rsidR="00B3655C" w:rsidRPr="00F02641" w:rsidRDefault="003C5CE5">
      <w:pPr>
        <w:numPr>
          <w:ilvl w:val="0"/>
          <w:numId w:val="1"/>
        </w:numPr>
        <w:pBdr>
          <w:top w:val="nil"/>
          <w:left w:val="nil"/>
          <w:bottom w:val="nil"/>
          <w:right w:val="nil"/>
          <w:between w:val="nil"/>
        </w:pBdr>
        <w:spacing w:after="0"/>
        <w:ind w:left="643"/>
        <w:jc w:val="both"/>
        <w:rPr>
          <w:lang w:val="fr-FR"/>
        </w:rPr>
      </w:pPr>
      <w:r>
        <w:rPr>
          <w:color w:val="000000"/>
          <w:lang w:val="fr-FR"/>
        </w:rPr>
        <w:t>Document de manifestation d'intér</w:t>
      </w:r>
      <w:r w:rsidR="00F35516">
        <w:rPr>
          <w:color w:val="000000"/>
          <w:lang w:val="fr-FR"/>
        </w:rPr>
        <w:t>êt suivant le modèle ci-joint. C</w:t>
      </w:r>
      <w:r>
        <w:rPr>
          <w:color w:val="000000"/>
          <w:lang w:val="fr-FR"/>
        </w:rPr>
        <w:t xml:space="preserve">e document doit comporter </w:t>
      </w:r>
      <w:r>
        <w:rPr>
          <w:color w:val="000000"/>
          <w:u w:val="single"/>
          <w:lang w:val="fr-FR"/>
        </w:rPr>
        <w:t>au maximum 5 pages.</w:t>
      </w:r>
    </w:p>
    <w:p w:rsidR="00B3655C" w:rsidRDefault="003C5CE5">
      <w:pPr>
        <w:numPr>
          <w:ilvl w:val="0"/>
          <w:numId w:val="1"/>
        </w:numPr>
        <w:pBdr>
          <w:top w:val="nil"/>
          <w:left w:val="nil"/>
          <w:bottom w:val="nil"/>
          <w:right w:val="nil"/>
          <w:between w:val="nil"/>
        </w:pBdr>
        <w:spacing w:after="0"/>
        <w:ind w:left="643"/>
        <w:jc w:val="both"/>
      </w:pPr>
      <w:r>
        <w:rPr>
          <w:color w:val="000000"/>
          <w:lang w:val="fr-FR"/>
        </w:rPr>
        <w:t>Annexes. Incluant :</w:t>
      </w:r>
    </w:p>
    <w:p w:rsidR="00B3655C" w:rsidRPr="00F02641" w:rsidRDefault="003C5CE5">
      <w:pPr>
        <w:numPr>
          <w:ilvl w:val="1"/>
          <w:numId w:val="1"/>
        </w:numPr>
        <w:pBdr>
          <w:top w:val="nil"/>
          <w:left w:val="nil"/>
          <w:bottom w:val="nil"/>
          <w:right w:val="nil"/>
          <w:between w:val="nil"/>
        </w:pBdr>
        <w:spacing w:after="0"/>
        <w:jc w:val="both"/>
        <w:rPr>
          <w:lang w:val="fr-FR"/>
        </w:rPr>
      </w:pPr>
      <w:r>
        <w:rPr>
          <w:color w:val="000000"/>
          <w:lang w:val="fr-FR"/>
        </w:rPr>
        <w:t xml:space="preserve">Les </w:t>
      </w:r>
      <w:proofErr w:type="spellStart"/>
      <w:r>
        <w:rPr>
          <w:color w:val="000000"/>
          <w:lang w:val="fr-FR"/>
        </w:rPr>
        <w:t>CVs</w:t>
      </w:r>
      <w:proofErr w:type="spellEnd"/>
      <w:r>
        <w:rPr>
          <w:color w:val="000000"/>
          <w:lang w:val="fr-FR"/>
        </w:rPr>
        <w:t xml:space="preserve"> des membres de l'équipe.</w:t>
      </w:r>
    </w:p>
    <w:p w:rsidR="00B3655C" w:rsidRPr="00F02641" w:rsidRDefault="003C5CE5">
      <w:pPr>
        <w:numPr>
          <w:ilvl w:val="1"/>
          <w:numId w:val="1"/>
        </w:numPr>
        <w:pBdr>
          <w:top w:val="nil"/>
          <w:left w:val="nil"/>
          <w:bottom w:val="nil"/>
          <w:right w:val="nil"/>
          <w:between w:val="nil"/>
        </w:pBdr>
        <w:jc w:val="both"/>
        <w:rPr>
          <w:lang w:val="fr-FR"/>
        </w:rPr>
      </w:pPr>
      <w:bookmarkStart w:id="0" w:name="_GoBack"/>
      <w:bookmarkEnd w:id="0"/>
      <w:r>
        <w:rPr>
          <w:color w:val="000000"/>
          <w:lang w:val="fr-FR"/>
        </w:rPr>
        <w:t xml:space="preserve">Lettre de soutien du responsable de l'institut </w:t>
      </w:r>
      <w:r w:rsidR="000837E0">
        <w:rPr>
          <w:color w:val="000000"/>
          <w:lang w:val="fr-FR"/>
        </w:rPr>
        <w:t>candidat</w:t>
      </w:r>
      <w:r>
        <w:rPr>
          <w:color w:val="000000"/>
          <w:lang w:val="fr-FR"/>
        </w:rPr>
        <w:t xml:space="preserve"> (modèle ci-joint).</w:t>
      </w:r>
    </w:p>
    <w:p w:rsidR="00B3655C" w:rsidRPr="00F02641" w:rsidRDefault="003C5CE5">
      <w:pPr>
        <w:jc w:val="both"/>
        <w:rPr>
          <w:lang w:val="fr-FR"/>
        </w:rPr>
      </w:pPr>
      <w:r>
        <w:rPr>
          <w:lang w:val="fr-FR"/>
        </w:rPr>
        <w:t xml:space="preserve">Les manifestations d'intérêt doivent être soumises dans les meilleurs délais par l'équipe. Les candidatures sont acceptées en permanence et évaluées chaque mois. Le GDN invite les équipes à soumettre leurs manifestations d'intérêt dès que possible. Les candidatures seront examinées peu après leur réception par l'équipe du programme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w:t>
      </w:r>
      <w:r w:rsidR="003B60E7">
        <w:rPr>
          <w:lang w:val="fr-FR"/>
        </w:rPr>
        <w:t>À</w:t>
      </w:r>
      <w:r>
        <w:rPr>
          <w:lang w:val="fr-FR"/>
        </w:rPr>
        <w:t xml:space="preserve"> </w:t>
      </w:r>
      <w:r w:rsidR="003B60E7">
        <w:rPr>
          <w:lang w:val="fr-FR"/>
        </w:rPr>
        <w:t>l’envoi</w:t>
      </w:r>
      <w:r>
        <w:rPr>
          <w:lang w:val="fr-FR"/>
        </w:rPr>
        <w:t xml:space="preserve"> du formulaire, veuillez préciser dans le corps du mail si vous disposez déjà d'un finance</w:t>
      </w:r>
      <w:r w:rsidR="00A30FF0">
        <w:rPr>
          <w:lang w:val="fr-FR"/>
        </w:rPr>
        <w:t>ment pour réaliser l'étude. L' « empreinte totale »</w:t>
      </w:r>
      <w:r>
        <w:rPr>
          <w:lang w:val="fr-FR"/>
        </w:rPr>
        <w:t xml:space="preserve"> pour l</w:t>
      </w:r>
      <w:r w:rsidR="003B60E7">
        <w:rPr>
          <w:lang w:val="fr-FR"/>
        </w:rPr>
        <w:t>es études en cours est de 70-80k</w:t>
      </w:r>
      <w:r>
        <w:rPr>
          <w:lang w:val="fr-FR"/>
        </w:rPr>
        <w:t xml:space="preserve"> dollars US par évaluation.</w:t>
      </w:r>
    </w:p>
    <w:p w:rsidR="00B3655C" w:rsidRPr="00F02641" w:rsidRDefault="003C5CE5">
      <w:pPr>
        <w:jc w:val="both"/>
        <w:rPr>
          <w:lang w:val="fr-FR"/>
        </w:rPr>
      </w:pPr>
      <w:r>
        <w:rPr>
          <w:lang w:val="fr-FR"/>
        </w:rPr>
        <w:t>Le programme se concentre actuellement sur un ensemble spécifique de pays prioritaires : Afrique du Sud, Côte d'Ivoire, Bangladesh, Burkina Faso, Éthiopie, Indonésie, Liban, Nigeria, Pérou et Sénégal. Toutefois, tous les pays en développement et en transition sont invités à participer au programme.</w:t>
      </w:r>
    </w:p>
    <w:p w:rsidR="00B3655C" w:rsidRDefault="003C5CE5">
      <w:pPr>
        <w:numPr>
          <w:ilvl w:val="0"/>
          <w:numId w:val="3"/>
        </w:numPr>
        <w:pBdr>
          <w:top w:val="nil"/>
          <w:left w:val="nil"/>
          <w:bottom w:val="nil"/>
          <w:right w:val="nil"/>
          <w:between w:val="nil"/>
        </w:pBdr>
        <w:ind w:left="360"/>
        <w:jc w:val="both"/>
        <w:rPr>
          <w:color w:val="000000"/>
        </w:rPr>
      </w:pPr>
      <w:r>
        <w:rPr>
          <w:b/>
          <w:bCs/>
          <w:color w:val="000000"/>
          <w:lang w:val="fr-FR"/>
        </w:rPr>
        <w:t>Profil des équipes de recherche</w:t>
      </w:r>
    </w:p>
    <w:p w:rsidR="00B3655C" w:rsidRPr="00F02641" w:rsidRDefault="003C5CE5">
      <w:pPr>
        <w:jc w:val="both"/>
        <w:rPr>
          <w:lang w:val="fr-FR"/>
        </w:rPr>
      </w:pPr>
      <w:r>
        <w:rPr>
          <w:u w:val="single"/>
          <w:lang w:val="fr-FR"/>
        </w:rPr>
        <w:t>Les équipes de recherche doivent postuler par l'intermédiaire d'un institut de recherche</w:t>
      </w:r>
      <w:r>
        <w:rPr>
          <w:lang w:val="fr-FR"/>
        </w:rPr>
        <w:t xml:space="preserve">. L'équipe idéale est multidisciplinaire et dispose de capacités avancées et confirmées en recherche </w:t>
      </w:r>
      <w:r>
        <w:rPr>
          <w:lang w:val="fr-FR"/>
        </w:rPr>
        <w:lastRenderedPageBreak/>
        <w:t xml:space="preserve">qualitative et quantitative, ainsi que d'une expérience préalable en analyse institutionnelle dans le secteur de l'éducation, de la recherche ou de l'innovation. Elle peut également être complétée par des compétences en communication et en visualisation de données. </w:t>
      </w:r>
    </w:p>
    <w:p w:rsidR="00B3655C" w:rsidRPr="00F02641" w:rsidRDefault="003C5CE5">
      <w:pPr>
        <w:jc w:val="both"/>
        <w:rPr>
          <w:lang w:val="fr-FR"/>
        </w:rPr>
      </w:pPr>
      <w:r>
        <w:rPr>
          <w:lang w:val="fr-FR"/>
        </w:rPr>
        <w:t xml:space="preserve">Les équipes de recherche doivent être en mesure de démontrer les </w:t>
      </w:r>
      <w:r w:rsidR="003B60E7">
        <w:rPr>
          <w:lang w:val="fr-FR"/>
        </w:rPr>
        <w:t>compétences</w:t>
      </w:r>
      <w:r>
        <w:rPr>
          <w:lang w:val="fr-FR"/>
        </w:rPr>
        <w:t xml:space="preserve"> suivantes :</w:t>
      </w:r>
    </w:p>
    <w:p w:rsidR="00B3655C" w:rsidRPr="00F02641" w:rsidRDefault="003C5CE5">
      <w:pPr>
        <w:numPr>
          <w:ilvl w:val="0"/>
          <w:numId w:val="1"/>
        </w:numPr>
        <w:pBdr>
          <w:top w:val="nil"/>
          <w:left w:val="nil"/>
          <w:bottom w:val="nil"/>
          <w:right w:val="nil"/>
          <w:between w:val="nil"/>
        </w:pBdr>
        <w:spacing w:after="0"/>
        <w:jc w:val="both"/>
        <w:rPr>
          <w:lang w:val="fr-FR"/>
        </w:rPr>
      </w:pPr>
      <w:r>
        <w:rPr>
          <w:color w:val="000000"/>
          <w:lang w:val="fr-FR"/>
        </w:rPr>
        <w:t>Expérience dans l'analyse des processus organisationnels et institutionnels dans le secteur de la recherche, de l'enseignement supérieur, de la connaissance ou de l'innovation.</w:t>
      </w:r>
    </w:p>
    <w:p w:rsidR="00B3655C" w:rsidRPr="00F02641" w:rsidRDefault="003C5CE5">
      <w:pPr>
        <w:numPr>
          <w:ilvl w:val="0"/>
          <w:numId w:val="1"/>
        </w:numPr>
        <w:pBdr>
          <w:top w:val="nil"/>
          <w:left w:val="nil"/>
          <w:bottom w:val="nil"/>
          <w:right w:val="nil"/>
          <w:between w:val="nil"/>
        </w:pBdr>
        <w:spacing w:after="0"/>
        <w:jc w:val="both"/>
        <w:rPr>
          <w:lang w:val="fr-FR"/>
        </w:rPr>
      </w:pPr>
      <w:r>
        <w:rPr>
          <w:color w:val="000000"/>
          <w:lang w:val="fr-FR"/>
        </w:rPr>
        <w:t>Expérience dans la conduite de la collecte de données primaires multipartites.</w:t>
      </w:r>
    </w:p>
    <w:p w:rsidR="00B3655C" w:rsidRPr="00F02641" w:rsidRDefault="003C5CE5">
      <w:pPr>
        <w:numPr>
          <w:ilvl w:val="0"/>
          <w:numId w:val="1"/>
        </w:numPr>
        <w:pBdr>
          <w:top w:val="nil"/>
          <w:left w:val="nil"/>
          <w:bottom w:val="nil"/>
          <w:right w:val="nil"/>
          <w:between w:val="nil"/>
        </w:pBdr>
        <w:spacing w:after="0"/>
        <w:jc w:val="both"/>
        <w:rPr>
          <w:lang w:val="fr-FR"/>
        </w:rPr>
      </w:pPr>
      <w:r>
        <w:rPr>
          <w:color w:val="000000"/>
          <w:lang w:val="fr-FR"/>
        </w:rPr>
        <w:t>Réseau déjà constitué avec les communautés politiques, universitaires et de la société civile au niveau national.</w:t>
      </w:r>
    </w:p>
    <w:p w:rsidR="00B3655C" w:rsidRPr="00F02641" w:rsidRDefault="003C5CE5">
      <w:pPr>
        <w:numPr>
          <w:ilvl w:val="0"/>
          <w:numId w:val="1"/>
        </w:numPr>
        <w:pBdr>
          <w:top w:val="nil"/>
          <w:left w:val="nil"/>
          <w:bottom w:val="nil"/>
          <w:right w:val="nil"/>
          <w:between w:val="nil"/>
        </w:pBdr>
        <w:jc w:val="both"/>
        <w:rPr>
          <w:lang w:val="fr-FR"/>
        </w:rPr>
      </w:pPr>
      <w:r>
        <w:rPr>
          <w:color w:val="000000"/>
          <w:lang w:val="fr-FR"/>
        </w:rPr>
        <w:t>Expérience dans la communication de la recherche à divers publics.</w:t>
      </w:r>
    </w:p>
    <w:p w:rsidR="00B3655C" w:rsidRPr="00F02641" w:rsidRDefault="003C5CE5">
      <w:pPr>
        <w:jc w:val="both"/>
        <w:rPr>
          <w:lang w:val="fr-FR"/>
        </w:rPr>
      </w:pPr>
      <w:r>
        <w:rPr>
          <w:lang w:val="fr-FR"/>
        </w:rPr>
        <w:t xml:space="preserve">Ces critères s'appliquent à l'équipe dans son ensemble et non aux membres individuels. </w:t>
      </w:r>
      <w:r w:rsidR="003B60E7">
        <w:rPr>
          <w:lang w:val="fr-FR"/>
        </w:rPr>
        <w:t>Ces expériences doivent pouvoir être démontrées par</w:t>
      </w:r>
      <w:r>
        <w:rPr>
          <w:lang w:val="fr-FR"/>
        </w:rPr>
        <w:t xml:space="preserve"> des exemples de projets, d'emplois ou des publications de recherche.</w:t>
      </w:r>
    </w:p>
    <w:p w:rsidR="00B3655C" w:rsidRDefault="003C5CE5">
      <w:pPr>
        <w:numPr>
          <w:ilvl w:val="0"/>
          <w:numId w:val="3"/>
        </w:numPr>
        <w:pBdr>
          <w:top w:val="nil"/>
          <w:left w:val="nil"/>
          <w:bottom w:val="nil"/>
          <w:right w:val="nil"/>
          <w:between w:val="nil"/>
        </w:pBdr>
        <w:ind w:left="360"/>
        <w:jc w:val="both"/>
        <w:rPr>
          <w:color w:val="000000"/>
        </w:rPr>
      </w:pPr>
      <w:r>
        <w:rPr>
          <w:b/>
          <w:bCs/>
          <w:color w:val="000000"/>
          <w:lang w:val="fr-FR"/>
        </w:rPr>
        <w:t>Questions</w:t>
      </w:r>
    </w:p>
    <w:p w:rsidR="00B3655C" w:rsidRDefault="003C5CE5">
      <w:pPr>
        <w:jc w:val="both"/>
        <w:rPr>
          <w:lang w:val="fr-FR"/>
        </w:rPr>
      </w:pPr>
      <w:r>
        <w:rPr>
          <w:lang w:val="fr-FR"/>
        </w:rPr>
        <w:t xml:space="preserve">Pour toute question, veuillez contacter l'équipe du programme </w:t>
      </w:r>
      <w:proofErr w:type="spellStart"/>
      <w:r>
        <w:rPr>
          <w:lang w:val="fr-FR"/>
        </w:rPr>
        <w:t>Doing</w:t>
      </w:r>
      <w:proofErr w:type="spellEnd"/>
      <w:r>
        <w:rPr>
          <w:lang w:val="fr-FR"/>
        </w:rPr>
        <w:t xml:space="preserve"> </w:t>
      </w:r>
      <w:proofErr w:type="spellStart"/>
      <w:r>
        <w:rPr>
          <w:lang w:val="fr-FR"/>
        </w:rPr>
        <w:t>Research</w:t>
      </w:r>
      <w:proofErr w:type="spellEnd"/>
      <w:r>
        <w:rPr>
          <w:lang w:val="fr-FR"/>
        </w:rPr>
        <w:t xml:space="preserve"> à l'adresse </w:t>
      </w:r>
      <w:hyperlink r:id="rId18" w:history="1">
        <w:r>
          <w:rPr>
            <w:color w:val="0000FF"/>
            <w:lang w:val="fr-FR"/>
          </w:rPr>
          <w:t xml:space="preserve"> </w:t>
        </w:r>
        <w:r>
          <w:rPr>
            <w:color w:val="0000FF"/>
            <w:u w:val="single"/>
            <w:lang w:val="fr-FR"/>
          </w:rPr>
          <w:t>doingresearch@gdn.int</w:t>
        </w:r>
      </w:hyperlink>
      <w:r>
        <w:rPr>
          <w:lang w:val="fr-FR"/>
        </w:rPr>
        <w:t xml:space="preserve">. </w:t>
      </w:r>
    </w:p>
    <w:p w:rsidR="00B3655C" w:rsidRDefault="003C5CE5">
      <w:pPr>
        <w:numPr>
          <w:ilvl w:val="0"/>
          <w:numId w:val="3"/>
        </w:numPr>
        <w:pBdr>
          <w:top w:val="nil"/>
          <w:left w:val="nil"/>
          <w:bottom w:val="nil"/>
          <w:right w:val="nil"/>
          <w:between w:val="nil"/>
        </w:pBdr>
        <w:ind w:left="360"/>
        <w:jc w:val="both"/>
        <w:rPr>
          <w:color w:val="000000"/>
        </w:rPr>
      </w:pPr>
      <w:r>
        <w:rPr>
          <w:b/>
          <w:bCs/>
          <w:color w:val="000000"/>
          <w:lang w:val="fr-FR"/>
        </w:rPr>
        <w:t>Références.</w:t>
      </w:r>
    </w:p>
    <w:p w:rsidR="00B3655C" w:rsidRPr="00F02641" w:rsidRDefault="003C5CE5">
      <w:pPr>
        <w:rPr>
          <w:lang w:val="fr-FR"/>
        </w:rPr>
      </w:pPr>
      <w:r>
        <w:rPr>
          <w:lang w:val="fr-FR"/>
        </w:rPr>
        <w:t>CE 2009. Systèmes de recherche régionaux en Europe : tendances et structures actuelles. 6e programme-cadre pour la recherche.</w:t>
      </w:r>
    </w:p>
    <w:p w:rsidR="00B3655C" w:rsidRPr="00F02641" w:rsidRDefault="003C5CE5">
      <w:pPr>
        <w:rPr>
          <w:lang w:val="fr-FR"/>
        </w:rPr>
      </w:pPr>
      <w:r>
        <w:rPr>
          <w:lang w:val="fr-FR"/>
        </w:rPr>
        <w:t xml:space="preserve">GDN (2017a). Synthèse de la phase pilote de </w:t>
      </w:r>
      <w:proofErr w:type="spellStart"/>
      <w:r>
        <w:rPr>
          <w:lang w:val="fr-FR"/>
        </w:rPr>
        <w:t>Doing</w:t>
      </w:r>
      <w:proofErr w:type="spellEnd"/>
      <w:r>
        <w:rPr>
          <w:lang w:val="fr-FR"/>
        </w:rPr>
        <w:t xml:space="preserve"> </w:t>
      </w:r>
      <w:proofErr w:type="spellStart"/>
      <w:r>
        <w:rPr>
          <w:lang w:val="fr-FR"/>
        </w:rPr>
        <w:t>Research</w:t>
      </w:r>
      <w:proofErr w:type="spellEnd"/>
      <w:r>
        <w:rPr>
          <w:lang w:val="fr-FR"/>
        </w:rPr>
        <w:t>. Rédigé par le Centre de recherche et d'expertise sur l'éducation et le développement (CREED).</w:t>
      </w:r>
    </w:p>
    <w:p w:rsidR="00B3655C" w:rsidRPr="00F02641" w:rsidRDefault="003C5CE5">
      <w:pPr>
        <w:rPr>
          <w:lang w:val="fr-FR"/>
        </w:rPr>
      </w:pPr>
      <w:r w:rsidRPr="00F02641">
        <w:t xml:space="preserve">GDN (2017b). Doing Research Assessments. </w:t>
      </w:r>
      <w:r>
        <w:rPr>
          <w:lang w:val="fr-FR"/>
        </w:rPr>
        <w:t>Documentation du programme GDN.</w:t>
      </w:r>
    </w:p>
    <w:p w:rsidR="00B3655C" w:rsidRDefault="003C5CE5">
      <w:r>
        <w:rPr>
          <w:lang w:val="fr-FR"/>
        </w:rPr>
        <w:t xml:space="preserve">CRDI (2013). </w:t>
      </w:r>
      <w:r w:rsidRPr="00F02641">
        <w:t xml:space="preserve">Excellence in the context of use-inspired research: Perspectives of the Global South. </w:t>
      </w:r>
    </w:p>
    <w:p w:rsidR="00B3655C" w:rsidRDefault="003C5CE5">
      <w:r w:rsidRPr="00F02641">
        <w:t>Lundvall B.-Å. (2007). National Innovation Systems – Analytical Concept and Development Tool. Industry and Innovation, 14: 1, 95-119.</w:t>
      </w:r>
    </w:p>
    <w:p w:rsidR="00B3655C" w:rsidRDefault="003C5CE5">
      <w:r w:rsidRPr="00F02641">
        <w:t xml:space="preserve">Williams R., de </w:t>
      </w:r>
      <w:proofErr w:type="spellStart"/>
      <w:r w:rsidRPr="00F02641">
        <w:t>Rassenfosse</w:t>
      </w:r>
      <w:proofErr w:type="spellEnd"/>
      <w:r w:rsidRPr="00F02641">
        <w:t xml:space="preserve"> G. (2013). The determinants of quality national higher education systems. </w:t>
      </w:r>
      <w:r>
        <w:rPr>
          <w:lang w:val="fr-FR"/>
        </w:rPr>
        <w:t xml:space="preserve">Journal of </w:t>
      </w:r>
      <w:proofErr w:type="spellStart"/>
      <w:r>
        <w:rPr>
          <w:lang w:val="fr-FR"/>
        </w:rPr>
        <w:t>Higher</w:t>
      </w:r>
      <w:proofErr w:type="spellEnd"/>
      <w:r>
        <w:rPr>
          <w:lang w:val="fr-FR"/>
        </w:rPr>
        <w:t xml:space="preserve"> Education Policy and Management.</w:t>
      </w:r>
    </w:p>
    <w:sectPr w:rsidR="00B3655C">
      <w:head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93D" w:rsidRDefault="00E5093D">
      <w:pPr>
        <w:spacing w:after="0" w:line="240" w:lineRule="auto"/>
      </w:pPr>
      <w:r>
        <w:separator/>
      </w:r>
    </w:p>
  </w:endnote>
  <w:endnote w:type="continuationSeparator" w:id="0">
    <w:p w:rsidR="00E5093D" w:rsidRDefault="00E5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San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pen Sans Light">
    <w:altName w:val="Corbel Light"/>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93D" w:rsidRDefault="00E5093D">
      <w:pPr>
        <w:spacing w:after="0" w:line="240" w:lineRule="auto"/>
      </w:pPr>
      <w:r>
        <w:separator/>
      </w:r>
    </w:p>
  </w:footnote>
  <w:footnote w:type="continuationSeparator" w:id="0">
    <w:p w:rsidR="00E5093D" w:rsidRDefault="00E50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5C" w:rsidRDefault="003C5CE5">
    <w:pPr>
      <w:pBdr>
        <w:top w:val="nil"/>
        <w:left w:val="nil"/>
        <w:bottom w:val="nil"/>
        <w:right w:val="nil"/>
        <w:between w:val="nil"/>
      </w:pBdr>
      <w:tabs>
        <w:tab w:val="center" w:pos="4680"/>
        <w:tab w:val="right" w:pos="9360"/>
      </w:tabs>
      <w:spacing w:after="0" w:line="240" w:lineRule="auto"/>
      <w:jc w:val="right"/>
      <w:rPr>
        <w:color w:val="000000"/>
      </w:rPr>
    </w:pPr>
    <w:r>
      <w:rPr>
        <w:b/>
        <w:noProof/>
        <w:color w:val="000000"/>
        <w:sz w:val="28"/>
        <w:szCs w:val="28"/>
        <w:lang w:val="fr-FR" w:eastAsia="fr-FR"/>
      </w:rPr>
      <w:drawing>
        <wp:inline distT="0" distB="0" distL="0" distR="0">
          <wp:extent cx="1076325" cy="733425"/>
          <wp:effectExtent l="0" t="0" r="0" b="0"/>
          <wp:docPr id="1" name="image1.jpg" descr="C:\Users\CG\Downloads\GDN Logosmall.jpg"/>
          <wp:cNvGraphicFramePr/>
          <a:graphic xmlns:a="http://schemas.openxmlformats.org/drawingml/2006/main">
            <a:graphicData uri="http://schemas.openxmlformats.org/drawingml/2006/picture">
              <pic:pic xmlns:pic="http://schemas.openxmlformats.org/drawingml/2006/picture">
                <pic:nvPicPr>
                  <pic:cNvPr id="1411732055" name="image1.jpg" descr="C:\Users\CG\Downloads\GDN Logosmall.jpg"/>
                  <pic:cNvPicPr/>
                </pic:nvPicPr>
                <pic:blipFill>
                  <a:blip r:embed="rId1"/>
                  <a:stretch>
                    <a:fillRect/>
                  </a:stretch>
                </pic:blipFill>
                <pic:spPr>
                  <a:xfrm>
                    <a:off x="0" y="0"/>
                    <a:ext cx="1076325" cy="733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755C1"/>
    <w:multiLevelType w:val="multilevel"/>
    <w:tmpl w:val="4CEC8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642879"/>
    <w:multiLevelType w:val="multilevel"/>
    <w:tmpl w:val="DB862024"/>
    <w:lvl w:ilvl="0">
      <w:start w:val="1"/>
      <w:numFmt w:val="bullet"/>
      <w:lvlText w:val="-"/>
      <w:lvlJc w:val="left"/>
      <w:pPr>
        <w:ind w:left="720" w:hanging="360"/>
      </w:pPr>
      <w:rPr>
        <w:rFonts w:ascii="PT Sans" w:eastAsia="PT Sans" w:hAnsi="PT Sans" w:cs="PT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0637D6"/>
    <w:multiLevelType w:val="multilevel"/>
    <w:tmpl w:val="9AD8D2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5C"/>
    <w:rsid w:val="00015933"/>
    <w:rsid w:val="000265EA"/>
    <w:rsid w:val="000837E0"/>
    <w:rsid w:val="00356956"/>
    <w:rsid w:val="003B60E7"/>
    <w:rsid w:val="003C5CE5"/>
    <w:rsid w:val="0043629E"/>
    <w:rsid w:val="004F5A25"/>
    <w:rsid w:val="006303EE"/>
    <w:rsid w:val="008D0C58"/>
    <w:rsid w:val="00A30FF0"/>
    <w:rsid w:val="00B3655C"/>
    <w:rsid w:val="00E21862"/>
    <w:rsid w:val="00E45C0E"/>
    <w:rsid w:val="00E5093D"/>
    <w:rsid w:val="00F02641"/>
    <w:rsid w:val="00F35516"/>
    <w:rsid w:val="00FD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4BD35-9355-428F-A988-4CADF383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eastAsia="PT Sans" w:hAnsi="PT Sans" w:cs="PT Sans"/>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240" w:after="120"/>
      <w:outlineLvl w:val="0"/>
    </w:pPr>
    <w:rPr>
      <w:rFonts w:ascii="Open Sans Light" w:eastAsia="Open Sans Light" w:hAnsi="Open Sans Light" w:cs="Open Sans Light"/>
      <w:b/>
      <w:color w:val="943734"/>
      <w:sz w:val="28"/>
      <w:szCs w:val="28"/>
    </w:rPr>
  </w:style>
  <w:style w:type="paragraph" w:styleId="Titre2">
    <w:name w:val="heading 2"/>
    <w:basedOn w:val="Normal"/>
    <w:next w:val="Normal"/>
    <w:uiPriority w:val="9"/>
    <w:semiHidden/>
    <w:unhideWhenUsed/>
    <w:qFormat/>
    <w:pPr>
      <w:keepNext/>
      <w:keepLines/>
      <w:spacing w:before="200" w:after="0"/>
      <w:outlineLvl w:val="1"/>
    </w:pPr>
    <w:rPr>
      <w:rFonts w:ascii="Open Sans Light" w:eastAsia="Open Sans Light" w:hAnsi="Open Sans Light" w:cs="Open Sans Light"/>
      <w:color w:val="000000"/>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spacing w:after="300" w:line="240" w:lineRule="auto"/>
    </w:pPr>
    <w:rPr>
      <w:rFonts w:ascii="Open Sans Light" w:eastAsia="Open Sans Light" w:hAnsi="Open Sans Light" w:cs="Open Sans Light"/>
      <w:color w:val="943734"/>
      <w:sz w:val="52"/>
      <w:szCs w:val="5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E45C0E"/>
    <w:pPr>
      <w:ind w:left="720"/>
      <w:contextualSpacing/>
    </w:pPr>
  </w:style>
  <w:style w:type="character" w:styleId="Lienhypertexte">
    <w:name w:val="Hyperlink"/>
    <w:basedOn w:val="Policepardfaut"/>
    <w:uiPriority w:val="99"/>
    <w:unhideWhenUsed/>
    <w:rsid w:val="00E45C0E"/>
    <w:rPr>
      <w:color w:val="0000FF" w:themeColor="hyperlink"/>
      <w:u w:val="single"/>
    </w:rPr>
  </w:style>
  <w:style w:type="character" w:customStyle="1" w:styleId="UnresolvedMention">
    <w:name w:val="Unresolved Mention"/>
    <w:basedOn w:val="Policepardfaut"/>
    <w:uiPriority w:val="99"/>
    <w:semiHidden/>
    <w:unhideWhenUsed/>
    <w:rsid w:val="00E45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n.int/sites/default/files/GDN-2017-DR-pilot-synthesis.pdf" TargetMode="External"/><Relationship Id="rId13" Type="http://schemas.openxmlformats.org/officeDocument/2006/relationships/hyperlink" Target="http://www.gdn.int/sites/default/files/DR-infographic-local-research.pdf" TargetMode="External"/><Relationship Id="rId18" Type="http://schemas.openxmlformats.org/officeDocument/2006/relationships/hyperlink" Target="mailto:%20doingresearch@gdn.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dn.int/sites/default/files/GDN-2017-DRA-method.pdf" TargetMode="External"/><Relationship Id="rId12" Type="http://schemas.openxmlformats.org/officeDocument/2006/relationships/hyperlink" Target="http://www.gdn.int/sites/default/files/DR-infographic-barriers.pdf" TargetMode="External"/><Relationship Id="rId17" Type="http://schemas.openxmlformats.org/officeDocument/2006/relationships/hyperlink" Target="http://www.researchtoaction.org/dialogue/gdn-doing-research/" TargetMode="External"/><Relationship Id="rId2" Type="http://schemas.openxmlformats.org/officeDocument/2006/relationships/styles" Target="styles.xml"/><Relationship Id="rId16" Type="http://schemas.openxmlformats.org/officeDocument/2006/relationships/hyperlink" Target="http://www.gdn.int/sites/default/files/Doing%20Resarch%20Pilot%20Phase%20evaluation%20repor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dn.int/sites/default/files/DR-infographic-africa.pdf" TargetMode="External"/><Relationship Id="rId5" Type="http://schemas.openxmlformats.org/officeDocument/2006/relationships/footnotes" Target="footnotes.xml"/><Relationship Id="rId15" Type="http://schemas.openxmlformats.org/officeDocument/2006/relationships/hyperlink" Target="http://www.gdn.int/sites/default/files/DR-stakeholder-consultation.pdf" TargetMode="External"/><Relationship Id="rId10" Type="http://schemas.openxmlformats.org/officeDocument/2006/relationships/hyperlink" Target="http://www.gdn.int/sites/default/files/DR-infographic-why.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dn.int/doing-research-results" TargetMode="External"/><Relationship Id="rId14" Type="http://schemas.openxmlformats.org/officeDocument/2006/relationships/hyperlink" Target="http://www.gdn.int/sites/default/files/DR-scaleup-workshop-summa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2698</Words>
  <Characters>14840</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wakac</cp:lastModifiedBy>
  <cp:revision>13</cp:revision>
  <dcterms:created xsi:type="dcterms:W3CDTF">2021-04-29T14:50:00Z</dcterms:created>
  <dcterms:modified xsi:type="dcterms:W3CDTF">2021-05-03T22:25:00Z</dcterms:modified>
</cp:coreProperties>
</file>