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7A" w:rsidRDefault="008C2F7A" w:rsidP="00EC447D">
      <w:pPr>
        <w:rPr>
          <w:rFonts w:ascii="Arial" w:eastAsia="Times New Roman" w:hAnsi="Arial" w:cs="Arial"/>
          <w:b/>
          <w:bCs/>
          <w:color w:val="7F7F7F" w:themeColor="text1" w:themeTint="80"/>
          <w:sz w:val="28"/>
          <w:szCs w:val="22"/>
          <w:lang w:val="en-US" w:eastAsia="en-GB"/>
        </w:rPr>
      </w:pPr>
    </w:p>
    <w:p w:rsidR="008C2F7A" w:rsidRDefault="008C2F7A" w:rsidP="00EC447D">
      <w:pPr>
        <w:rPr>
          <w:rFonts w:ascii="Arial" w:eastAsia="Times New Roman" w:hAnsi="Arial" w:cs="Arial"/>
          <w:b/>
          <w:bCs/>
          <w:color w:val="7F7F7F" w:themeColor="text1" w:themeTint="80"/>
          <w:sz w:val="28"/>
          <w:szCs w:val="22"/>
          <w:lang w:val="en-US" w:eastAsia="en-GB"/>
        </w:rPr>
      </w:pPr>
    </w:p>
    <w:p w:rsidR="008C2F7A" w:rsidRDefault="008C2F7A" w:rsidP="0078386E">
      <w:pPr>
        <w:spacing w:line="276" w:lineRule="auto"/>
        <w:rPr>
          <w:rFonts w:ascii="Arial" w:eastAsia="Times New Roman" w:hAnsi="Arial" w:cs="Arial"/>
          <w:b/>
          <w:bCs/>
          <w:color w:val="7F7F7F" w:themeColor="text1" w:themeTint="80"/>
          <w:sz w:val="28"/>
          <w:szCs w:val="22"/>
          <w:lang w:val="en-US" w:eastAsia="en-GB"/>
        </w:rPr>
      </w:pPr>
    </w:p>
    <w:p w:rsidR="008C2F7A" w:rsidRPr="002C6121" w:rsidRDefault="008C2F7A" w:rsidP="0078386E">
      <w:pPr>
        <w:spacing w:line="276" w:lineRule="auto"/>
        <w:jc w:val="center"/>
        <w:rPr>
          <w:rFonts w:ascii="Arial" w:eastAsia="Times New Roman" w:hAnsi="Arial" w:cs="Arial"/>
          <w:b/>
          <w:bCs/>
          <w:color w:val="7F7F7F" w:themeColor="text1" w:themeTint="80"/>
          <w:sz w:val="36"/>
          <w:szCs w:val="22"/>
          <w:lang w:val="en-US" w:eastAsia="en-GB"/>
        </w:rPr>
      </w:pPr>
    </w:p>
    <w:p w:rsidR="002C6121" w:rsidRPr="002C6121" w:rsidRDefault="00E427BC" w:rsidP="0078386E">
      <w:pPr>
        <w:spacing w:line="276" w:lineRule="auto"/>
        <w:ind w:left="1418" w:hanging="1418"/>
        <w:jc w:val="center"/>
        <w:rPr>
          <w:rFonts w:ascii="Arial" w:eastAsia="Times New Roman" w:hAnsi="Arial" w:cs="Arial"/>
          <w:b/>
          <w:bCs/>
          <w:color w:val="7F7F7F" w:themeColor="text1" w:themeTint="80"/>
          <w:sz w:val="36"/>
          <w:szCs w:val="22"/>
          <w:lang w:val="fr-FR" w:eastAsia="en-GB"/>
        </w:rPr>
      </w:pPr>
      <w:r w:rsidRPr="002C6121">
        <w:rPr>
          <w:rFonts w:ascii="Arial" w:eastAsia="Times New Roman" w:hAnsi="Arial" w:cs="Arial"/>
          <w:b/>
          <w:bCs/>
          <w:sz w:val="36"/>
          <w:szCs w:val="22"/>
          <w:lang w:val="fr-FR" w:eastAsia="en-GB"/>
        </w:rPr>
        <w:t>Appel à manifestation d’intérêt</w:t>
      </w:r>
      <w:r w:rsidR="0078386E">
        <w:rPr>
          <w:rFonts w:ascii="Arial" w:eastAsia="Times New Roman" w:hAnsi="Arial" w:cs="Arial"/>
          <w:b/>
          <w:bCs/>
          <w:sz w:val="36"/>
          <w:szCs w:val="22"/>
          <w:lang w:val="fr-FR" w:eastAsia="en-GB"/>
        </w:rPr>
        <w:t> :</w:t>
      </w:r>
      <w:r w:rsidR="002C6121" w:rsidRPr="002C6121">
        <w:rPr>
          <w:rFonts w:ascii="Arial" w:eastAsia="Times New Roman" w:hAnsi="Arial" w:cs="Arial"/>
          <w:b/>
          <w:bCs/>
          <w:color w:val="7F7F7F" w:themeColor="text1" w:themeTint="80"/>
          <w:sz w:val="36"/>
          <w:szCs w:val="22"/>
          <w:lang w:val="fr-FR" w:eastAsia="en-GB"/>
        </w:rPr>
        <w:br/>
      </w:r>
    </w:p>
    <w:p w:rsidR="00140F6B" w:rsidRPr="0026159E" w:rsidRDefault="002C6121" w:rsidP="0078386E">
      <w:pPr>
        <w:spacing w:line="276" w:lineRule="auto"/>
        <w:ind w:left="1418" w:hanging="1418"/>
        <w:jc w:val="center"/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</w:pPr>
      <w:r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>C</w:t>
      </w:r>
      <w:r w:rsidR="00140F6B"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>ontribuer à l’élabo</w:t>
      </w:r>
      <w:r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 xml:space="preserve">ration </w:t>
      </w:r>
      <w:r w:rsidR="0026159E"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>d’une revue de littérature critique</w:t>
      </w:r>
      <w:r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 xml:space="preserve"> </w:t>
      </w:r>
      <w:r w:rsidR="00140F6B"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>sur les enjeux</w:t>
      </w:r>
    </w:p>
    <w:p w:rsidR="00EC447D" w:rsidRPr="0026159E" w:rsidRDefault="00140F6B" w:rsidP="0078386E">
      <w:pPr>
        <w:spacing w:line="276" w:lineRule="auto"/>
        <w:ind w:left="1418" w:hanging="1418"/>
        <w:jc w:val="center"/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</w:pPr>
      <w:proofErr w:type="gramStart"/>
      <w:r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>croisés</w:t>
      </w:r>
      <w:proofErr w:type="gramEnd"/>
      <w:r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 xml:space="preserve"> </w:t>
      </w:r>
      <w:r w:rsidR="0078386E"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>du</w:t>
      </w:r>
      <w:r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 xml:space="preserve"> </w:t>
      </w:r>
      <w:r w:rsidR="002C6121"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 xml:space="preserve">numérique </w:t>
      </w:r>
      <w:r w:rsidR="0078386E"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 xml:space="preserve">et de la gouvernance </w:t>
      </w:r>
      <w:r w:rsidR="002C6121" w:rsidRPr="0026159E">
        <w:rPr>
          <w:rFonts w:ascii="Arial" w:eastAsia="Times New Roman" w:hAnsi="Arial" w:cs="Arial"/>
          <w:b/>
          <w:bCs/>
          <w:color w:val="7F7F7F" w:themeColor="text1" w:themeTint="80"/>
          <w:lang w:val="fr-FR" w:eastAsia="en-GB"/>
        </w:rPr>
        <w:t>en Afrique de l’Ouest</w:t>
      </w:r>
    </w:p>
    <w:p w:rsidR="00E427BC" w:rsidRPr="00140F6B" w:rsidRDefault="00E427BC" w:rsidP="0078386E">
      <w:pPr>
        <w:spacing w:line="276" w:lineRule="auto"/>
        <w:ind w:left="1418" w:hanging="1418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  <w:bookmarkStart w:id="0" w:name="_GoBack"/>
      <w:bookmarkEnd w:id="0"/>
    </w:p>
    <w:p w:rsidR="002C6121" w:rsidRDefault="00635591" w:rsidP="0078386E">
      <w:pPr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  <w:r w:rsidRPr="00522560">
        <w:rPr>
          <w:rFonts w:ascii="Arial" w:eastAsia="Times New Roman" w:hAnsi="Arial" w:cs="Arial"/>
          <w:b/>
          <w:bCs/>
          <w:szCs w:val="22"/>
          <w:lang w:val="fr-FR" w:eastAsia="en-GB"/>
        </w:rPr>
        <w:t>Context</w:t>
      </w:r>
      <w:r w:rsidR="00E427BC" w:rsidRPr="00522560">
        <w:rPr>
          <w:rFonts w:ascii="Arial" w:eastAsia="Times New Roman" w:hAnsi="Arial" w:cs="Arial"/>
          <w:b/>
          <w:bCs/>
          <w:szCs w:val="22"/>
          <w:lang w:val="fr-FR" w:eastAsia="en-GB"/>
        </w:rPr>
        <w:t>e</w:t>
      </w:r>
    </w:p>
    <w:p w:rsidR="002C6121" w:rsidRPr="0029310D" w:rsidRDefault="002C6121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br/>
      </w:r>
      <w:r w:rsidRPr="0029310D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Fondé en 1999, le Global </w:t>
      </w:r>
      <w:proofErr w:type="spellStart"/>
      <w:r w:rsidRPr="0029310D">
        <w:rPr>
          <w:rFonts w:ascii="Arial" w:eastAsia="Times New Roman" w:hAnsi="Arial" w:cs="Arial"/>
          <w:bCs/>
          <w:sz w:val="22"/>
          <w:szCs w:val="22"/>
          <w:lang w:val="fr-FR" w:eastAsia="en-GB"/>
        </w:rPr>
        <w:t>Development</w:t>
      </w:r>
      <w:proofErr w:type="spellEnd"/>
      <w:r w:rsidRPr="0029310D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Network (GDN) est une organisation internationale publique qui soutient une recherche en sciences sociales de qualité et orientée vers l’action dans les pays à rev</w:t>
      </w:r>
      <w:r w:rsidR="0078386E">
        <w:rPr>
          <w:rFonts w:ascii="Arial" w:eastAsia="Times New Roman" w:hAnsi="Arial" w:cs="Arial"/>
          <w:bCs/>
          <w:sz w:val="22"/>
          <w:szCs w:val="22"/>
          <w:lang w:val="fr-FR" w:eastAsia="en-GB"/>
        </w:rPr>
        <w:t>enus faibles ou intermédiaires.</w:t>
      </w:r>
      <w:r w:rsidR="0078386E">
        <w:rPr>
          <w:rFonts w:ascii="Arial" w:eastAsia="Times New Roman" w:hAnsi="Arial" w:cs="Arial"/>
          <w:bCs/>
          <w:sz w:val="22"/>
          <w:szCs w:val="22"/>
          <w:lang w:val="fr-FR" w:eastAsia="en-GB"/>
        </w:rPr>
        <w:tab/>
      </w:r>
      <w:r w:rsidRPr="0029310D">
        <w:rPr>
          <w:rFonts w:ascii="Arial" w:eastAsia="Times New Roman" w:hAnsi="Arial" w:cs="Arial"/>
          <w:bCs/>
          <w:sz w:val="22"/>
          <w:szCs w:val="22"/>
          <w:lang w:val="fr-FR" w:eastAsia="en-GB"/>
        </w:rPr>
        <w:br/>
      </w:r>
      <w:r w:rsidR="005041A8">
        <w:rPr>
          <w:rFonts w:ascii="Arial" w:eastAsia="Times New Roman" w:hAnsi="Arial" w:cs="Arial"/>
          <w:bCs/>
          <w:sz w:val="22"/>
          <w:szCs w:val="22"/>
          <w:lang w:val="fr-FR" w:eastAsia="en-GB"/>
        </w:rPr>
        <w:tab/>
      </w:r>
    </w:p>
    <w:p w:rsidR="0029310D" w:rsidRDefault="002C6121" w:rsidP="0078386E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  <w:r w:rsidRPr="0029310D">
        <w:rPr>
          <w:rFonts w:ascii="Arial" w:hAnsi="Arial" w:cs="Arial"/>
          <w:sz w:val="22"/>
          <w:szCs w:val="22"/>
          <w:lang w:val="fr-FR"/>
        </w:rPr>
        <w:t>Dans ce cadre,</w:t>
      </w:r>
      <w:r w:rsidR="00140F6B" w:rsidRPr="0029310D">
        <w:rPr>
          <w:rFonts w:ascii="Arial" w:hAnsi="Arial" w:cs="Arial"/>
          <w:sz w:val="22"/>
          <w:szCs w:val="22"/>
          <w:lang w:val="fr-FR"/>
        </w:rPr>
        <w:t xml:space="preserve"> le </w:t>
      </w:r>
      <w:r w:rsidR="009E38E6" w:rsidRPr="0029310D">
        <w:rPr>
          <w:rFonts w:ascii="Arial" w:hAnsi="Arial" w:cs="Arial"/>
          <w:sz w:val="22"/>
          <w:szCs w:val="22"/>
          <w:lang w:val="fr-FR"/>
        </w:rPr>
        <w:t>Programme Savoirs Sahel</w:t>
      </w:r>
      <w:r w:rsidR="001534AF">
        <w:rPr>
          <w:rFonts w:ascii="Arial" w:hAnsi="Arial" w:cs="Arial"/>
          <w:sz w:val="22"/>
          <w:szCs w:val="22"/>
          <w:lang w:val="fr-FR"/>
        </w:rPr>
        <w:t xml:space="preserve"> 2</w:t>
      </w:r>
      <w:r w:rsidRPr="0029310D">
        <w:rPr>
          <w:rFonts w:ascii="Arial" w:hAnsi="Arial" w:cs="Arial"/>
          <w:sz w:val="22"/>
          <w:szCs w:val="22"/>
          <w:lang w:val="fr-FR"/>
        </w:rPr>
        <w:t>, financé par l’A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gence </w:t>
      </w:r>
      <w:r w:rsidRPr="0029310D">
        <w:rPr>
          <w:rFonts w:ascii="Arial" w:hAnsi="Arial" w:cs="Arial"/>
          <w:sz w:val="22"/>
          <w:szCs w:val="22"/>
          <w:lang w:val="fr-FR"/>
        </w:rPr>
        <w:t>F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rançaise de </w:t>
      </w:r>
      <w:r w:rsidRPr="0029310D">
        <w:rPr>
          <w:rFonts w:ascii="Arial" w:hAnsi="Arial" w:cs="Arial"/>
          <w:sz w:val="22"/>
          <w:szCs w:val="22"/>
          <w:lang w:val="fr-FR"/>
        </w:rPr>
        <w:t>D</w:t>
      </w:r>
      <w:r w:rsidR="0029310D" w:rsidRPr="0029310D">
        <w:rPr>
          <w:rFonts w:ascii="Arial" w:hAnsi="Arial" w:cs="Arial"/>
          <w:sz w:val="22"/>
          <w:szCs w:val="22"/>
          <w:lang w:val="fr-FR"/>
        </w:rPr>
        <w:t>éveloppement (AFD)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 et mis en œuvre</w:t>
      </w:r>
      <w:r w:rsidR="001534AF">
        <w:rPr>
          <w:rFonts w:ascii="Arial" w:hAnsi="Arial" w:cs="Arial"/>
          <w:sz w:val="22"/>
          <w:szCs w:val="22"/>
          <w:lang w:val="fr-FR"/>
        </w:rPr>
        <w:t xml:space="preserve"> dans sa deuxième composante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 par le GDN</w:t>
      </w:r>
      <w:r w:rsidR="00140F6B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>depuis 2022,</w:t>
      </w:r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accompagne</w:t>
      </w:r>
      <w:r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des </w:t>
      </w:r>
      <w:proofErr w:type="spellStart"/>
      <w:r w:rsidR="00140F6B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>think</w:t>
      </w:r>
      <w:proofErr w:type="spellEnd"/>
      <w:r w:rsidR="00140F6B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tanks</w:t>
      </w:r>
      <w:r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au Burkina Faso, </w:t>
      </w:r>
      <w:r w:rsidR="00522560">
        <w:rPr>
          <w:rFonts w:ascii="Arial" w:hAnsi="Arial" w:cs="Arial"/>
          <w:sz w:val="22"/>
          <w:szCs w:val="22"/>
          <w:shd w:val="clear" w:color="auto" w:fill="FFFFFF"/>
          <w:lang w:val="fr-FR"/>
        </w:rPr>
        <w:t>en Mauritanie, au Sénégal et au Tchad,</w:t>
      </w:r>
      <w:r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>dans leur ambition de devenir des ac</w:t>
      </w:r>
      <w:r w:rsidR="00522560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teurs clés de la production de </w:t>
      </w:r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>savoirs et de la formulation de politiques publiques.</w:t>
      </w:r>
      <w:r w:rsidR="00140F6B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</w:t>
      </w:r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Au-delà d’un appui financier </w:t>
      </w:r>
      <w:r w:rsidR="00522560">
        <w:rPr>
          <w:rFonts w:ascii="Arial" w:hAnsi="Arial" w:cs="Arial"/>
          <w:sz w:val="22"/>
          <w:szCs w:val="22"/>
          <w:shd w:val="clear" w:color="auto" w:fill="FFFFFF"/>
          <w:lang w:val="fr-FR"/>
        </w:rPr>
        <w:t>adapté aux besoins</w:t>
      </w:r>
      <w:r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, </w:t>
      </w:r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le programme propose également des opportunités de renforcement de capacités et de mise en réseau. Il comprend également un temps fort annuel : la </w:t>
      </w:r>
      <w:r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Foire aux savoirs, </w:t>
      </w:r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un événement qui réunit </w:t>
      </w:r>
      <w:proofErr w:type="spellStart"/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>think</w:t>
      </w:r>
      <w:proofErr w:type="spellEnd"/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 tanks, </w:t>
      </w:r>
      <w:r w:rsidR="00140F6B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>décideurs polit</w:t>
      </w:r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iques et </w:t>
      </w:r>
      <w:r w:rsidR="00140F6B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partenaires </w:t>
      </w:r>
      <w:r w:rsidR="0029310D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internationaux afin </w:t>
      </w:r>
      <w:r w:rsidR="00522560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de 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renforcer les 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synergies 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entre </w:t>
      </w:r>
      <w:r w:rsidR="00522560">
        <w:rPr>
          <w:rFonts w:ascii="Arial" w:hAnsi="Arial" w:cs="Arial"/>
          <w:sz w:val="22"/>
          <w:szCs w:val="22"/>
          <w:lang w:val="fr-FR"/>
        </w:rPr>
        <w:t>ces différents acteurs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 autour de l’usage des données probantes dans les politiques publiques de la région</w:t>
      </w:r>
      <w:r w:rsidR="00140F6B"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>. </w:t>
      </w:r>
    </w:p>
    <w:p w:rsidR="0029310D" w:rsidRPr="0029310D" w:rsidRDefault="0029310D" w:rsidP="0078386E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fr-FR"/>
        </w:rPr>
      </w:pPr>
    </w:p>
    <w:p w:rsidR="00522560" w:rsidRDefault="00140F6B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9310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La deuxième édition de 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la 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Foire aux Savoirs, s’est tenue à Cotonou (Bénin) les 21 et 22 mai 2025 sur le thème : </w:t>
      </w:r>
      <w:r w:rsidR="005041A8">
        <w:rPr>
          <w:rFonts w:ascii="Arial" w:hAnsi="Arial" w:cs="Arial"/>
          <w:sz w:val="22"/>
          <w:szCs w:val="22"/>
          <w:lang w:val="fr-FR"/>
        </w:rPr>
        <w:t>« </w:t>
      </w:r>
      <w:r w:rsidR="002C6121" w:rsidRPr="0029310D">
        <w:rPr>
          <w:rFonts w:ascii="Arial" w:hAnsi="Arial" w:cs="Arial"/>
          <w:sz w:val="22"/>
          <w:szCs w:val="22"/>
          <w:lang w:val="fr-FR"/>
        </w:rPr>
        <w:t>Digitalisation et enjeux de gouvernance en Afrique de l’Ouest</w:t>
      </w:r>
      <w:r w:rsidR="005041A8">
        <w:rPr>
          <w:rFonts w:ascii="Arial" w:hAnsi="Arial" w:cs="Arial"/>
          <w:sz w:val="22"/>
          <w:szCs w:val="22"/>
          <w:lang w:val="fr-FR"/>
        </w:rPr>
        <w:t> »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. </w:t>
      </w:r>
      <w:r w:rsidR="002C6121" w:rsidRPr="0029310D">
        <w:rPr>
          <w:rFonts w:ascii="Arial" w:hAnsi="Arial" w:cs="Arial"/>
          <w:sz w:val="22"/>
          <w:szCs w:val="22"/>
          <w:lang w:val="fr-FR"/>
        </w:rPr>
        <w:t>Organisée par le GDN</w:t>
      </w:r>
      <w:r w:rsidR="0029310D" w:rsidRPr="0029310D">
        <w:rPr>
          <w:rFonts w:ascii="Arial" w:hAnsi="Arial" w:cs="Arial"/>
          <w:sz w:val="22"/>
          <w:szCs w:val="22"/>
          <w:lang w:val="fr-FR"/>
        </w:rPr>
        <w:t>, en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 partenariat avec </w:t>
      </w:r>
      <w:r w:rsidRPr="0029310D">
        <w:rPr>
          <w:rFonts w:ascii="Arial" w:hAnsi="Arial" w:cs="Arial"/>
          <w:sz w:val="22"/>
          <w:szCs w:val="22"/>
          <w:lang w:val="fr-FR"/>
        </w:rPr>
        <w:t>le Centre Africain pour le Développeme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nt </w:t>
      </w:r>
      <w:r w:rsidRPr="0029310D">
        <w:rPr>
          <w:rFonts w:ascii="Arial" w:hAnsi="Arial" w:cs="Arial"/>
          <w:sz w:val="22"/>
          <w:szCs w:val="22"/>
          <w:lang w:val="fr-FR"/>
        </w:rPr>
        <w:t>Équitable (ACED)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 et avec </w:t>
      </w:r>
      <w:r w:rsidRPr="0029310D">
        <w:rPr>
          <w:rFonts w:ascii="Arial" w:hAnsi="Arial" w:cs="Arial"/>
          <w:sz w:val="22"/>
          <w:szCs w:val="22"/>
          <w:lang w:val="fr-FR"/>
        </w:rPr>
        <w:t>le soutien du Centre de Recherches pour le Développement International (CRDI) et la Fondation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Robert Bosch, 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l’événement a rassemblé 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plus de 70 participants, dont des chercheurs issus de 14 </w:t>
      </w:r>
      <w:proofErr w:type="spellStart"/>
      <w:r w:rsidR="00FD1E48" w:rsidRPr="0029310D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tanks nationaux et régionaux, </w:t>
      </w:r>
      <w:r w:rsidR="0029310D" w:rsidRPr="0029310D">
        <w:rPr>
          <w:rFonts w:ascii="Arial" w:hAnsi="Arial" w:cs="Arial"/>
          <w:sz w:val="22"/>
          <w:szCs w:val="22"/>
          <w:lang w:val="fr-FR"/>
        </w:rPr>
        <w:t>des représentants d’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agences nationales du </w:t>
      </w:r>
      <w:r w:rsidR="0078386E">
        <w:rPr>
          <w:rFonts w:ascii="Arial" w:hAnsi="Arial" w:cs="Arial"/>
          <w:sz w:val="22"/>
          <w:szCs w:val="22"/>
          <w:lang w:val="fr-FR"/>
        </w:rPr>
        <w:t xml:space="preserve">numérique, de la société civile, du 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secteur privé technologique, ainsi que des acteurs internationaux du développement pour </w:t>
      </w:r>
      <w:proofErr w:type="spellStart"/>
      <w:r w:rsidRPr="0029310D">
        <w:rPr>
          <w:rFonts w:ascii="Arial" w:hAnsi="Arial" w:cs="Arial"/>
          <w:sz w:val="22"/>
          <w:szCs w:val="22"/>
          <w:lang w:val="fr-FR"/>
        </w:rPr>
        <w:t>co</w:t>
      </w:r>
      <w:proofErr w:type="spellEnd"/>
      <w:r w:rsidRPr="0029310D">
        <w:rPr>
          <w:rFonts w:ascii="Arial" w:hAnsi="Arial" w:cs="Arial"/>
          <w:sz w:val="22"/>
          <w:szCs w:val="22"/>
          <w:lang w:val="fr-FR"/>
        </w:rPr>
        <w:t>-construire un agenda régional de re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cherche </w:t>
      </w:r>
      <w:r w:rsidR="00FD1E48" w:rsidRPr="0029310D">
        <w:rPr>
          <w:rFonts w:ascii="Arial" w:hAnsi="Arial" w:cs="Arial"/>
          <w:sz w:val="22"/>
          <w:szCs w:val="22"/>
          <w:lang w:val="fr-FR"/>
        </w:rPr>
        <w:t>sur le numérique et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 la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gouvernance. </w:t>
      </w:r>
      <w:r w:rsidR="0029310D" w:rsidRPr="0029310D">
        <w:rPr>
          <w:rFonts w:ascii="Arial" w:hAnsi="Arial" w:cs="Arial"/>
          <w:sz w:val="22"/>
          <w:szCs w:val="22"/>
          <w:lang w:val="fr-FR"/>
        </w:rPr>
        <w:t>Son format innovant de « marché de la connaissance »</w:t>
      </w:r>
      <w:r w:rsidR="005041A8">
        <w:rPr>
          <w:rFonts w:ascii="Arial" w:hAnsi="Arial" w:cs="Arial"/>
          <w:sz w:val="22"/>
          <w:szCs w:val="22"/>
          <w:lang w:val="fr-FR"/>
        </w:rPr>
        <w:t>, combiné à une ouverture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 géographique élargie à l’Afrique de l’Ouest</w:t>
      </w:r>
      <w:r w:rsidR="005041A8">
        <w:rPr>
          <w:rFonts w:ascii="Arial" w:hAnsi="Arial" w:cs="Arial"/>
          <w:sz w:val="22"/>
          <w:szCs w:val="22"/>
          <w:lang w:val="fr-FR"/>
        </w:rPr>
        <w:t>, a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r w:rsidR="005041A8">
        <w:rPr>
          <w:rFonts w:ascii="Arial" w:hAnsi="Arial" w:cs="Arial"/>
          <w:sz w:val="22"/>
          <w:szCs w:val="22"/>
          <w:lang w:val="fr-FR"/>
        </w:rPr>
        <w:t>favorisé un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effort collaboratif</w:t>
      </w:r>
      <w:r w:rsidR="005041A8">
        <w:rPr>
          <w:rFonts w:ascii="Arial" w:hAnsi="Arial" w:cs="Arial"/>
          <w:sz w:val="22"/>
          <w:szCs w:val="22"/>
          <w:lang w:val="fr-FR"/>
        </w:rPr>
        <w:t xml:space="preserve"> approfondi, aboutissant à l’identification de six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axes thématiques problématisés et </w:t>
      </w:r>
      <w:r w:rsidR="005041A8">
        <w:rPr>
          <w:rFonts w:ascii="Arial" w:hAnsi="Arial" w:cs="Arial"/>
          <w:sz w:val="22"/>
          <w:szCs w:val="22"/>
          <w:lang w:val="fr-FR"/>
        </w:rPr>
        <w:t xml:space="preserve">à la priorisation de trente-cinq questions de recherche. </w:t>
      </w:r>
      <w:r w:rsidR="005041A8">
        <w:rPr>
          <w:rFonts w:ascii="Arial" w:hAnsi="Arial" w:cs="Arial"/>
          <w:sz w:val="22"/>
          <w:szCs w:val="22"/>
          <w:lang w:val="fr-FR"/>
        </w:rPr>
        <w:tab/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r w:rsidR="00FD1E48" w:rsidRPr="0029310D">
        <w:rPr>
          <w:rFonts w:ascii="Arial" w:hAnsi="Arial" w:cs="Arial"/>
          <w:sz w:val="22"/>
          <w:szCs w:val="22"/>
          <w:lang w:val="fr-FR"/>
        </w:rPr>
        <w:br/>
      </w:r>
      <w:r w:rsidR="00FD1E48" w:rsidRPr="0029310D">
        <w:rPr>
          <w:rFonts w:ascii="Arial" w:hAnsi="Arial" w:cs="Arial"/>
          <w:sz w:val="22"/>
          <w:szCs w:val="22"/>
          <w:lang w:val="fr-FR"/>
        </w:rPr>
        <w:br/>
      </w:r>
      <w:r w:rsidR="0078386E">
        <w:rPr>
          <w:rFonts w:ascii="Arial" w:hAnsi="Arial" w:cs="Arial"/>
          <w:sz w:val="22"/>
          <w:szCs w:val="22"/>
          <w:lang w:val="fr-FR"/>
        </w:rPr>
        <w:t>A la suite d’</w:t>
      </w:r>
      <w:r w:rsidR="00FD1E48" w:rsidRPr="0029310D">
        <w:rPr>
          <w:rFonts w:ascii="Arial" w:hAnsi="Arial" w:cs="Arial"/>
          <w:sz w:val="22"/>
          <w:szCs w:val="22"/>
          <w:lang w:val="fr-FR"/>
        </w:rPr>
        <w:t>une première phase de consultation publique</w:t>
      </w:r>
      <w:r w:rsidR="00522560">
        <w:rPr>
          <w:rFonts w:ascii="Arial" w:hAnsi="Arial" w:cs="Arial"/>
          <w:sz w:val="22"/>
          <w:szCs w:val="22"/>
          <w:lang w:val="fr-FR"/>
        </w:rPr>
        <w:t xml:space="preserve"> élargie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sur l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a version préliminaire de cet 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agenda, </w:t>
      </w:r>
      <w:r w:rsidR="0078386E">
        <w:rPr>
          <w:rFonts w:ascii="Arial" w:hAnsi="Arial" w:cs="Arial"/>
          <w:sz w:val="22"/>
          <w:szCs w:val="22"/>
          <w:lang w:val="fr-FR"/>
        </w:rPr>
        <w:t>le GDN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r w:rsidR="0078386E">
        <w:rPr>
          <w:rFonts w:ascii="Arial" w:hAnsi="Arial" w:cs="Arial"/>
          <w:sz w:val="22"/>
          <w:szCs w:val="22"/>
          <w:lang w:val="fr-FR"/>
        </w:rPr>
        <w:t>lance à présent un appel à manifestation d’intérêt destiné aux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D1E48" w:rsidRPr="0029310D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tanks </w:t>
      </w:r>
      <w:r w:rsidR="0078386E">
        <w:rPr>
          <w:rFonts w:ascii="Arial" w:hAnsi="Arial" w:cs="Arial"/>
          <w:sz w:val="22"/>
          <w:szCs w:val="22"/>
          <w:lang w:val="fr-FR"/>
        </w:rPr>
        <w:t>ouest-africains souhaitant contribuer à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r w:rsidR="00522560">
        <w:rPr>
          <w:rFonts w:ascii="Arial" w:hAnsi="Arial" w:cs="Arial"/>
          <w:sz w:val="22"/>
          <w:szCs w:val="22"/>
          <w:lang w:val="fr-FR"/>
        </w:rPr>
        <w:t>la réalisation</w:t>
      </w:r>
      <w:r w:rsidR="0078386E">
        <w:rPr>
          <w:rFonts w:ascii="Arial" w:hAnsi="Arial" w:cs="Arial"/>
          <w:sz w:val="22"/>
          <w:szCs w:val="22"/>
          <w:lang w:val="fr-FR"/>
        </w:rPr>
        <w:t xml:space="preserve"> d’une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revue de littérature </w:t>
      </w:r>
      <w:r w:rsidR="0029310D" w:rsidRPr="0029310D">
        <w:rPr>
          <w:rFonts w:ascii="Arial" w:hAnsi="Arial" w:cs="Arial"/>
          <w:sz w:val="22"/>
          <w:szCs w:val="22"/>
          <w:lang w:val="fr-FR"/>
        </w:rPr>
        <w:t>critique</w:t>
      </w:r>
      <w:r w:rsidR="00FD1E48"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r w:rsidR="0008468B" w:rsidRPr="0029310D">
        <w:rPr>
          <w:rFonts w:ascii="Arial" w:hAnsi="Arial" w:cs="Arial"/>
          <w:sz w:val="22"/>
          <w:szCs w:val="22"/>
          <w:lang w:val="fr-FR"/>
        </w:rPr>
        <w:t xml:space="preserve">sur les problématiques </w:t>
      </w:r>
      <w:r w:rsidR="0078386E">
        <w:rPr>
          <w:rFonts w:ascii="Arial" w:hAnsi="Arial" w:cs="Arial"/>
          <w:sz w:val="22"/>
          <w:szCs w:val="22"/>
          <w:lang w:val="fr-FR"/>
        </w:rPr>
        <w:t>pré-</w:t>
      </w:r>
      <w:r w:rsidR="0008468B" w:rsidRPr="0029310D">
        <w:rPr>
          <w:rFonts w:ascii="Arial" w:hAnsi="Arial" w:cs="Arial"/>
          <w:sz w:val="22"/>
          <w:szCs w:val="22"/>
          <w:lang w:val="fr-FR"/>
        </w:rPr>
        <w:t>identifiées</w:t>
      </w:r>
      <w:r w:rsidR="0029310D" w:rsidRPr="0029310D">
        <w:rPr>
          <w:rFonts w:ascii="Arial" w:hAnsi="Arial" w:cs="Arial"/>
          <w:sz w:val="22"/>
          <w:szCs w:val="22"/>
          <w:lang w:val="fr-FR"/>
        </w:rPr>
        <w:t>. L’objectif est d’évaluer la pertinence académique et politiq</w:t>
      </w:r>
      <w:r w:rsidR="00522560">
        <w:rPr>
          <w:rFonts w:ascii="Arial" w:hAnsi="Arial" w:cs="Arial"/>
          <w:sz w:val="22"/>
          <w:szCs w:val="22"/>
          <w:lang w:val="fr-FR"/>
        </w:rPr>
        <w:t>ue des questions formulées, en mettant en évidence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 les écarts potentiels entre les connaissances disponibles </w:t>
      </w:r>
      <w:r w:rsidR="0008468B" w:rsidRPr="0029310D">
        <w:rPr>
          <w:rFonts w:ascii="Arial" w:hAnsi="Arial" w:cs="Arial"/>
          <w:sz w:val="22"/>
          <w:szCs w:val="22"/>
          <w:lang w:val="fr-FR"/>
        </w:rPr>
        <w:t xml:space="preserve">et </w:t>
      </w:r>
      <w:r w:rsidR="0029310D" w:rsidRPr="0029310D">
        <w:rPr>
          <w:rFonts w:ascii="Arial" w:hAnsi="Arial" w:cs="Arial"/>
          <w:sz w:val="22"/>
          <w:szCs w:val="22"/>
          <w:lang w:val="fr-FR"/>
        </w:rPr>
        <w:t xml:space="preserve">les politiques publiques </w:t>
      </w:r>
      <w:r w:rsidR="00522560">
        <w:rPr>
          <w:rFonts w:ascii="Arial" w:hAnsi="Arial" w:cs="Arial"/>
          <w:sz w:val="22"/>
          <w:szCs w:val="22"/>
          <w:lang w:val="fr-FR"/>
        </w:rPr>
        <w:t xml:space="preserve">liées aux thématiques explorées. </w:t>
      </w:r>
    </w:p>
    <w:p w:rsidR="00522560" w:rsidRDefault="00522560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5041A8" w:rsidRPr="005041A8" w:rsidRDefault="0029310D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9310D">
        <w:rPr>
          <w:rFonts w:ascii="Arial" w:hAnsi="Arial" w:cs="Arial"/>
          <w:sz w:val="22"/>
          <w:szCs w:val="22"/>
          <w:lang w:val="fr-FR"/>
        </w:rPr>
        <w:t>Cet appel</w:t>
      </w:r>
      <w:r w:rsidR="0008468B" w:rsidRPr="0029310D">
        <w:rPr>
          <w:rFonts w:ascii="Arial" w:hAnsi="Arial" w:cs="Arial"/>
          <w:sz w:val="22"/>
          <w:szCs w:val="22"/>
          <w:lang w:val="fr-FR"/>
        </w:rPr>
        <w:t xml:space="preserve"> s’inscrit dans </w:t>
      </w:r>
      <w:r w:rsidRPr="0029310D">
        <w:rPr>
          <w:rFonts w:ascii="Arial" w:hAnsi="Arial" w:cs="Arial"/>
          <w:sz w:val="22"/>
          <w:szCs w:val="22"/>
          <w:lang w:val="fr-FR"/>
        </w:rPr>
        <w:t>une démarche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r w:rsidRPr="0029310D">
        <w:rPr>
          <w:rFonts w:ascii="Arial" w:hAnsi="Arial" w:cs="Arial"/>
          <w:sz w:val="22"/>
          <w:szCs w:val="22"/>
          <w:lang w:val="fr-FR"/>
        </w:rPr>
        <w:t>visant à orienter</w:t>
      </w:r>
      <w:r w:rsidR="005041A8">
        <w:rPr>
          <w:rFonts w:ascii="Arial" w:hAnsi="Arial" w:cs="Arial"/>
          <w:sz w:val="22"/>
          <w:szCs w:val="22"/>
          <w:lang w:val="fr-FR"/>
        </w:rPr>
        <w:t>, sur le moyen terme,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 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les capacités 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de recherche </w:t>
      </w:r>
      <w:r w:rsidR="002C6121" w:rsidRPr="0029310D">
        <w:rPr>
          <w:rFonts w:ascii="Arial" w:hAnsi="Arial" w:cs="Arial"/>
          <w:sz w:val="22"/>
          <w:szCs w:val="22"/>
          <w:lang w:val="fr-FR"/>
        </w:rPr>
        <w:t>et les investissements vers des quest</w:t>
      </w:r>
      <w:r w:rsidR="0008468B" w:rsidRPr="0029310D">
        <w:rPr>
          <w:rFonts w:ascii="Arial" w:hAnsi="Arial" w:cs="Arial"/>
          <w:sz w:val="22"/>
          <w:szCs w:val="22"/>
          <w:lang w:val="fr-FR"/>
        </w:rPr>
        <w:t xml:space="preserve">ions </w:t>
      </w:r>
      <w:r w:rsidRPr="0029310D">
        <w:rPr>
          <w:rFonts w:ascii="Arial" w:hAnsi="Arial" w:cs="Arial"/>
          <w:sz w:val="22"/>
          <w:szCs w:val="22"/>
          <w:lang w:val="fr-FR"/>
        </w:rPr>
        <w:t>prioritaires,</w:t>
      </w:r>
      <w:r w:rsidR="0008468B" w:rsidRPr="0029310D">
        <w:rPr>
          <w:rFonts w:ascii="Arial" w:hAnsi="Arial" w:cs="Arial"/>
          <w:sz w:val="22"/>
          <w:szCs w:val="22"/>
          <w:lang w:val="fr-FR"/>
        </w:rPr>
        <w:t xml:space="preserve"> qui répondent </w:t>
      </w:r>
      <w:r w:rsidR="002C6121" w:rsidRPr="0029310D">
        <w:rPr>
          <w:rFonts w:ascii="Arial" w:hAnsi="Arial" w:cs="Arial"/>
          <w:sz w:val="22"/>
          <w:szCs w:val="22"/>
          <w:lang w:val="fr-FR"/>
        </w:rPr>
        <w:t xml:space="preserve">aux préoccupations </w:t>
      </w:r>
      <w:r w:rsidR="0008468B" w:rsidRPr="0029310D">
        <w:rPr>
          <w:rFonts w:ascii="Arial" w:hAnsi="Arial" w:cs="Arial"/>
          <w:sz w:val="22"/>
          <w:szCs w:val="22"/>
          <w:lang w:val="fr-FR"/>
        </w:rPr>
        <w:t>politiques et s</w:t>
      </w:r>
      <w:r w:rsidRPr="0029310D">
        <w:rPr>
          <w:rFonts w:ascii="Arial" w:hAnsi="Arial" w:cs="Arial"/>
          <w:sz w:val="22"/>
          <w:szCs w:val="22"/>
          <w:lang w:val="fr-FR"/>
        </w:rPr>
        <w:t xml:space="preserve">ociales de la région. </w:t>
      </w:r>
      <w:r w:rsidRPr="0029310D">
        <w:rPr>
          <w:rFonts w:ascii="Arial" w:hAnsi="Arial" w:cs="Arial"/>
          <w:sz w:val="22"/>
          <w:szCs w:val="22"/>
          <w:lang w:val="fr-FR"/>
        </w:rPr>
        <w:tab/>
      </w:r>
      <w:r w:rsidR="005041A8">
        <w:rPr>
          <w:rFonts w:ascii="Arial" w:hAnsi="Arial" w:cs="Arial"/>
          <w:sz w:val="22"/>
          <w:szCs w:val="22"/>
          <w:lang w:val="fr-FR"/>
        </w:rPr>
        <w:br/>
      </w:r>
    </w:p>
    <w:p w:rsidR="006D7D27" w:rsidRDefault="0008468B" w:rsidP="0029310D">
      <w:pPr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29310D">
        <w:rPr>
          <w:rFonts w:ascii="Arial" w:eastAsia="Times New Roman" w:hAnsi="Arial" w:cs="Arial"/>
          <w:bCs/>
          <w:sz w:val="22"/>
          <w:szCs w:val="22"/>
          <w:lang w:val="fr-FR" w:eastAsia="en-GB"/>
        </w:rPr>
        <w:t>Pour en sa</w:t>
      </w:r>
      <w:r w:rsidR="000C0A85">
        <w:rPr>
          <w:rFonts w:ascii="Arial" w:eastAsia="Times New Roman" w:hAnsi="Arial" w:cs="Arial"/>
          <w:bCs/>
          <w:sz w:val="22"/>
          <w:szCs w:val="22"/>
          <w:lang w:val="fr-FR" w:eastAsia="en-GB"/>
        </w:rPr>
        <w:t>voir plus sur les objectifs, la méthodologie,</w:t>
      </w:r>
      <w:r w:rsidRPr="0029310D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  <w:r w:rsidR="000C0A85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et les axes thématiques </w:t>
      </w:r>
      <w:r w:rsidRPr="0029310D">
        <w:rPr>
          <w:rFonts w:ascii="Arial" w:eastAsia="Times New Roman" w:hAnsi="Arial" w:cs="Arial"/>
          <w:bCs/>
          <w:sz w:val="22"/>
          <w:szCs w:val="22"/>
          <w:lang w:val="fr-FR" w:eastAsia="en-GB"/>
        </w:rPr>
        <w:t>de l’agenda de recherche</w:t>
      </w:r>
      <w:r w:rsidR="0078386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sur le numérique et la gouvernance en Afrique de l’Ouest, consultez la note disponible </w:t>
      </w:r>
      <w:hyperlink r:id="rId9" w:history="1">
        <w:r w:rsidR="0078386E" w:rsidRPr="0078386E">
          <w:rPr>
            <w:rStyle w:val="Lienhypertexte"/>
            <w:rFonts w:ascii="Arial" w:eastAsia="Times New Roman" w:hAnsi="Arial" w:cs="Arial"/>
            <w:bCs/>
            <w:sz w:val="22"/>
            <w:szCs w:val="22"/>
            <w:lang w:val="fr-FR" w:eastAsia="en-GB"/>
          </w:rPr>
          <w:t>ici</w:t>
        </w:r>
      </w:hyperlink>
      <w:r w:rsidR="0078386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. </w:t>
      </w:r>
    </w:p>
    <w:p w:rsidR="005041A8" w:rsidRPr="005041A8" w:rsidRDefault="005041A8" w:rsidP="0029310D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9E38E6" w:rsidRPr="0008468B" w:rsidRDefault="009E38E6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  <w:r w:rsidRPr="00522560">
        <w:rPr>
          <w:rFonts w:ascii="Arial" w:eastAsia="Times New Roman" w:hAnsi="Arial" w:cs="Arial"/>
          <w:b/>
          <w:bCs/>
          <w:szCs w:val="22"/>
          <w:lang w:val="fr-FR" w:eastAsia="en-GB"/>
        </w:rPr>
        <w:t xml:space="preserve">Objectif de l’appel </w:t>
      </w:r>
      <w:r w:rsidRPr="00522560">
        <w:rPr>
          <w:rFonts w:ascii="Arial" w:eastAsia="Times New Roman" w:hAnsi="Arial" w:cs="Arial"/>
          <w:b/>
          <w:bCs/>
          <w:szCs w:val="22"/>
          <w:lang w:val="fr-FR" w:eastAsia="en-GB"/>
        </w:rPr>
        <w:tab/>
      </w:r>
      <w:r w:rsidR="00E427BC" w:rsidRPr="0008468B"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  <w:br/>
      </w:r>
    </w:p>
    <w:p w:rsidR="0078386E" w:rsidRDefault="007754CE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>Cet</w:t>
      </w:r>
      <w:r w:rsidR="006D7D27" w:rsidRP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appe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l à manifestation d’intérêt a pour objectif principal </w:t>
      </w:r>
      <w:r w:rsidR="006D7D27" w:rsidRP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>d’i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dentifier des </w:t>
      </w:r>
      <w:proofErr w:type="spellStart"/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>think</w:t>
      </w:r>
      <w:proofErr w:type="spellEnd"/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tanks établis </w:t>
      </w:r>
      <w:r w:rsidR="006D7D27" w:rsidRP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>en Afrique de l’Ouest</w:t>
      </w:r>
      <w:r w:rsidR="00522560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, 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désireux de collaborer </w:t>
      </w:r>
      <w:r w:rsidR="00522560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et 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>mettre à profit leur</w:t>
      </w:r>
      <w:r w:rsidR="00522560">
        <w:rPr>
          <w:rFonts w:ascii="Arial" w:eastAsia="Times New Roman" w:hAnsi="Arial" w:cs="Arial"/>
          <w:bCs/>
          <w:sz w:val="22"/>
          <w:szCs w:val="22"/>
          <w:lang w:val="fr-FR" w:eastAsia="en-GB"/>
        </w:rPr>
        <w:t>s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expertise</w:t>
      </w:r>
      <w:r w:rsidR="00522560">
        <w:rPr>
          <w:rFonts w:ascii="Arial" w:eastAsia="Times New Roman" w:hAnsi="Arial" w:cs="Arial"/>
          <w:bCs/>
          <w:sz w:val="22"/>
          <w:szCs w:val="22"/>
          <w:lang w:val="fr-FR" w:eastAsia="en-GB"/>
        </w:rPr>
        <w:t>s respectives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>, à travers la réalisation d’une revue de littérature critique faisant émerger des questions de recherche à fort enjeu politique et encore peu explorées.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</w:p>
    <w:p w:rsidR="0078386E" w:rsidRDefault="0078386E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</w:p>
    <w:p w:rsidR="006D7D27" w:rsidRDefault="006D7D27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Plus spécifiquement,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cet appel vise à :</w:t>
      </w:r>
    </w:p>
    <w:p w:rsidR="0078386E" w:rsidRPr="0078386E" w:rsidRDefault="0078386E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</w:p>
    <w:p w:rsidR="006D7D27" w:rsidRPr="006D7D27" w:rsidRDefault="00D975F3" w:rsidP="0078386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Poursuivre 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la consultation 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>publique entamée en ciblant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des acteurs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clés de la production de savoirs et de l’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influence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des politiques publiques, afin</w:t>
      </w:r>
      <w:r w:rsidR="009E38E6" w:rsidRP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d’identifi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er des questions à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l’intersection des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connaissances disponibles et des enjeu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x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politiques urgents sur le thème du numérique et de la gouvernance en Afrique de l’Ouest ; </w:t>
      </w:r>
    </w:p>
    <w:p w:rsidR="007754CE" w:rsidRPr="007754CE" w:rsidRDefault="009E38E6" w:rsidP="0078386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  <w:r w:rsidRP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>Renforcer la collaboration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régionale</w:t>
      </w:r>
      <w:r w:rsidRP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entre </w:t>
      </w:r>
      <w:proofErr w:type="spellStart"/>
      <w:r w:rsidRP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>think</w:t>
      </w:r>
      <w:proofErr w:type="spellEnd"/>
      <w:r w:rsidRP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tanks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issus de différents pays</w:t>
      </w:r>
      <w:r w:rsidR="006D7D27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autour d’enjeux partagés à l’échelle ouest-africaine ; </w:t>
      </w:r>
    </w:p>
    <w:p w:rsidR="006E4A51" w:rsidRPr="007754CE" w:rsidRDefault="009E38E6" w:rsidP="0078386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Identifi</w:t>
      </w:r>
      <w:r w:rsidR="007754CE" w:rsidRP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er des partenaires potentiels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, susceptibles de contribuer, à plus long terme, à</w:t>
      </w:r>
      <w:r w:rsidR="007754CE" w:rsidRP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>la</w:t>
      </w:r>
      <w:r w:rsidRP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mise en œuvre de l’agenda de </w:t>
      </w:r>
      <w:r w:rsidR="007754CE" w:rsidRP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recherche </w:t>
      </w:r>
      <w:r w:rsid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en cours d’élaboration. </w:t>
      </w:r>
      <w:r w:rsidR="006E4A51" w:rsidRPr="007754CE">
        <w:rPr>
          <w:rFonts w:ascii="Arial" w:eastAsia="Times New Roman" w:hAnsi="Arial" w:cs="Arial"/>
          <w:bCs/>
          <w:sz w:val="22"/>
          <w:szCs w:val="22"/>
          <w:lang w:val="fr-FR" w:eastAsia="en-GB"/>
        </w:rPr>
        <w:br/>
      </w:r>
    </w:p>
    <w:p w:rsidR="00E427BC" w:rsidRPr="006E4A51" w:rsidRDefault="00E427B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  <w:r w:rsidRPr="00522560">
        <w:rPr>
          <w:rFonts w:ascii="Arial" w:eastAsia="Times New Roman" w:hAnsi="Arial" w:cs="Arial"/>
          <w:b/>
          <w:bCs/>
          <w:szCs w:val="22"/>
          <w:lang w:val="fr-FR" w:eastAsia="en-GB"/>
        </w:rPr>
        <w:t>Description de la mission</w:t>
      </w:r>
    </w:p>
    <w:p w:rsidR="0072223E" w:rsidRPr="00C07A8E" w:rsidRDefault="000C0A85" w:rsidP="0078386E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ab/>
      </w:r>
    </w:p>
    <w:p w:rsidR="00C07A8E" w:rsidRDefault="000C0A85" w:rsidP="0078386E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La mission proposée consiste à réaliser une revue de littérature critique et appliquée sur l’un des six axes thématiques pré-identif</w:t>
      </w:r>
      <w:r w:rsidR="00522560">
        <w:rPr>
          <w:rFonts w:ascii="Arial" w:eastAsia="Times New Roman" w:hAnsi="Arial" w:cs="Arial"/>
          <w:bCs/>
          <w:sz w:val="22"/>
          <w:szCs w:val="22"/>
          <w:lang w:val="fr-FR" w:eastAsia="en-GB"/>
        </w:rPr>
        <w:t>i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és dans l’agenda préliminaire de recherche (disponible </w:t>
      </w:r>
      <w:hyperlink r:id="rId10" w:history="1">
        <w:r w:rsidRPr="0078386E">
          <w:rPr>
            <w:rStyle w:val="Lienhypertexte"/>
            <w:rFonts w:ascii="Arial" w:eastAsia="Times New Roman" w:hAnsi="Arial" w:cs="Arial"/>
            <w:bCs/>
            <w:sz w:val="22"/>
            <w:szCs w:val="22"/>
            <w:lang w:val="fr-FR" w:eastAsia="en-GB"/>
          </w:rPr>
          <w:t>ici</w:t>
        </w:r>
      </w:hyperlink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). Ce travail s’organis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era en trois grandes phases :  </w:t>
      </w:r>
    </w:p>
    <w:p w:rsidR="00C07A8E" w:rsidRDefault="000C0A85" w:rsidP="0078386E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1/ Réalisation d’une revue de littérature de type étude de la portée ou </w:t>
      </w:r>
      <w:proofErr w:type="spellStart"/>
      <w:r w:rsidRPr="00C07A8E">
        <w:rPr>
          <w:rFonts w:ascii="Arial" w:eastAsia="Times New Roman" w:hAnsi="Arial" w:cs="Arial"/>
          <w:bCs/>
          <w:i/>
          <w:sz w:val="22"/>
          <w:szCs w:val="22"/>
          <w:lang w:val="fr-FR" w:eastAsia="en-GB"/>
        </w:rPr>
        <w:t>scoping</w:t>
      </w:r>
      <w:proofErr w:type="spellEnd"/>
      <w:r w:rsidRPr="00C07A8E">
        <w:rPr>
          <w:rFonts w:ascii="Arial" w:eastAsia="Times New Roman" w:hAnsi="Arial" w:cs="Arial"/>
          <w:bCs/>
          <w:i/>
          <w:sz w:val="22"/>
          <w:szCs w:val="22"/>
          <w:lang w:val="fr-FR" w:eastAsia="en-GB"/>
        </w:rPr>
        <w:t xml:space="preserve"> </w:t>
      </w:r>
      <w:proofErr w:type="spellStart"/>
      <w:r w:rsidRPr="00C07A8E">
        <w:rPr>
          <w:rFonts w:ascii="Arial" w:eastAsia="Times New Roman" w:hAnsi="Arial" w:cs="Arial"/>
          <w:bCs/>
          <w:i/>
          <w:sz w:val="22"/>
          <w:szCs w:val="22"/>
          <w:lang w:val="fr-FR" w:eastAsia="en-GB"/>
        </w:rPr>
        <w:t>review</w:t>
      </w:r>
      <w:proofErr w:type="spellEnd"/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 : 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br/>
        <w:t>Il s’agira de c</w:t>
      </w:r>
      <w:r w:rsidR="006E4A51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artographier l’état 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des</w:t>
      </w:r>
      <w:r w:rsidR="006E4A51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connaissances 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existantes</w:t>
      </w:r>
      <w:r w:rsidR="006E4A51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sur 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l’un des six</w:t>
      </w:r>
      <w:r w:rsidR="00C07A8E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axes thématiques de l’agenda, en mobilisant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une méthodol</w:t>
      </w:r>
      <w:r w:rsidR="00B971C8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ogie rigoureuse </w:t>
      </w:r>
      <w:r w:rsidR="00C07A8E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visant à 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identifier </w:t>
      </w:r>
      <w:r w:rsidR="0072223E" w:rsidRPr="00C07A8E">
        <w:rPr>
          <w:rFonts w:ascii="Arial" w:eastAsia="Times New Roman" w:hAnsi="Arial" w:cs="Arial"/>
          <w:color w:val="000000"/>
          <w:sz w:val="22"/>
          <w:szCs w:val="22"/>
          <w:lang w:val="fr-FR"/>
        </w:rPr>
        <w:t>les types de données probantes disponibles </w:t>
      </w:r>
      <w:r w:rsidRPr="00C07A8E">
        <w:rPr>
          <w:rFonts w:ascii="Arial" w:eastAsia="Times New Roman" w:hAnsi="Arial" w:cs="Arial"/>
          <w:color w:val="000000"/>
          <w:sz w:val="22"/>
          <w:szCs w:val="22"/>
          <w:lang w:val="fr-FR"/>
        </w:rPr>
        <w:t>sur la problématique générale de l’axe thématique</w:t>
      </w:r>
      <w:r w:rsidR="00B971C8" w:rsidRPr="00C07A8E">
        <w:rPr>
          <w:rFonts w:ascii="Arial" w:eastAsia="Times New Roman" w:hAnsi="Arial" w:cs="Arial"/>
          <w:color w:val="000000"/>
          <w:sz w:val="22"/>
          <w:szCs w:val="22"/>
          <w:lang w:val="fr-FR"/>
        </w:rPr>
        <w:t xml:space="preserve">. </w:t>
      </w:r>
      <w:r w:rsidR="00C07A8E" w:rsidRPr="00C07A8E">
        <w:rPr>
          <w:rFonts w:ascii="Arial" w:eastAsia="Times New Roman" w:hAnsi="Arial" w:cs="Arial"/>
          <w:color w:val="000000"/>
          <w:sz w:val="22"/>
          <w:szCs w:val="22"/>
          <w:lang w:val="fr-FR"/>
        </w:rPr>
        <w:t>L’objectif est de réorganiser et reformuler les questions de recherche pré-identifiées, en fonction de leur degré de couverture dans la littérature et d</w:t>
      </w:r>
      <w:r w:rsidR="0072223E" w:rsidRPr="00C07A8E">
        <w:rPr>
          <w:rFonts w:ascii="Arial" w:eastAsia="Times New Roman" w:hAnsi="Arial" w:cs="Arial"/>
          <w:color w:val="000000"/>
          <w:sz w:val="22"/>
          <w:szCs w:val="22"/>
          <w:lang w:val="fr-FR"/>
        </w:rPr>
        <w:t>es</w:t>
      </w:r>
      <w:r w:rsidR="00C07A8E" w:rsidRPr="00C07A8E">
        <w:rPr>
          <w:rFonts w:ascii="Arial" w:eastAsia="Times New Roman" w:hAnsi="Arial" w:cs="Arial"/>
          <w:color w:val="000000"/>
          <w:sz w:val="22"/>
          <w:szCs w:val="22"/>
          <w:lang w:val="fr-FR"/>
        </w:rPr>
        <w:t xml:space="preserve"> lacunes dans les connaissances existantes.</w:t>
      </w:r>
    </w:p>
    <w:p w:rsidR="006D7D27" w:rsidRPr="00C07A8E" w:rsidRDefault="000C0A85" w:rsidP="0078386E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C07A8E">
        <w:rPr>
          <w:rFonts w:ascii="Arial" w:hAnsi="Arial" w:cs="Arial"/>
          <w:sz w:val="22"/>
          <w:szCs w:val="22"/>
          <w:lang w:val="fr-FR"/>
        </w:rPr>
        <w:t xml:space="preserve">2/ </w:t>
      </w:r>
      <w:r w:rsidR="005D3BAC" w:rsidRPr="00C07A8E">
        <w:rPr>
          <w:rFonts w:ascii="Arial" w:hAnsi="Arial" w:cs="Arial"/>
          <w:sz w:val="22"/>
          <w:szCs w:val="22"/>
          <w:lang w:val="fr-FR"/>
        </w:rPr>
        <w:t>Cartographie des</w:t>
      </w:r>
      <w:r w:rsidR="006D7D27" w:rsidRPr="00C07A8E">
        <w:rPr>
          <w:rFonts w:ascii="Arial" w:hAnsi="Arial" w:cs="Arial"/>
          <w:sz w:val="22"/>
          <w:szCs w:val="22"/>
          <w:lang w:val="fr-FR"/>
        </w:rPr>
        <w:t xml:space="preserve"> </w:t>
      </w:r>
      <w:r w:rsidR="005D3BAC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enjeux de politiques publiques liés à l’axe thématique : </w:t>
      </w:r>
      <w:r w:rsidR="005D3BAC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br/>
        <w:t xml:space="preserve">Il s’agira de faire l’inventaire des </w:t>
      </w:r>
      <w:r w:rsidR="00B971C8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priorités de </w:t>
      </w:r>
      <w:r w:rsidR="005D3BAC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politiques publiques au niveau régional </w:t>
      </w:r>
      <w:r w:rsidR="00B971C8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en lien avec la problématique générale de l’axe thématique. </w:t>
      </w:r>
    </w:p>
    <w:p w:rsidR="006E4A51" w:rsidRPr="00C07A8E" w:rsidRDefault="000C0A85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3/ </w:t>
      </w:r>
      <w:r w:rsidR="005D3BAC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>Analyse croisée des connaissances disponibles et des enjeux politiques :</w:t>
      </w:r>
      <w:r w:rsidR="006E4A51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B971C8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br/>
        <w:t xml:space="preserve">La dernière phase consistera à analyser </w:t>
      </w:r>
      <w:r w:rsidR="006E4A51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les </w:t>
      </w:r>
      <w:r w:rsidR="006D7D27" w:rsidRPr="00C07A8E">
        <w:rPr>
          <w:rStyle w:val="lev"/>
          <w:rFonts w:ascii="Arial" w:hAnsi="Arial" w:cs="Arial"/>
          <w:b w:val="0"/>
          <w:sz w:val="22"/>
          <w:szCs w:val="22"/>
          <w:lang w:val="fr-FR"/>
        </w:rPr>
        <w:t>"angles morts"</w:t>
      </w:r>
      <w:r w:rsidR="006D7D27" w:rsidRPr="00C07A8E">
        <w:rPr>
          <w:rFonts w:ascii="Arial" w:hAnsi="Arial" w:cs="Arial"/>
          <w:sz w:val="22"/>
          <w:szCs w:val="22"/>
          <w:lang w:val="fr-FR"/>
        </w:rPr>
        <w:t xml:space="preserve"> entre la recherche</w:t>
      </w:r>
      <w:r w:rsidR="00B971C8" w:rsidRPr="00C07A8E">
        <w:rPr>
          <w:rFonts w:ascii="Arial" w:hAnsi="Arial" w:cs="Arial"/>
          <w:sz w:val="22"/>
          <w:szCs w:val="22"/>
          <w:lang w:val="fr-FR"/>
        </w:rPr>
        <w:t xml:space="preserve"> académique</w:t>
      </w:r>
      <w:r w:rsidR="006D7D27" w:rsidRPr="00C07A8E">
        <w:rPr>
          <w:rFonts w:ascii="Arial" w:hAnsi="Arial" w:cs="Arial"/>
          <w:sz w:val="22"/>
          <w:szCs w:val="22"/>
          <w:lang w:val="fr-FR"/>
        </w:rPr>
        <w:t xml:space="preserve"> et les </w:t>
      </w:r>
      <w:r w:rsidR="00B971C8" w:rsidRPr="00C07A8E">
        <w:rPr>
          <w:rFonts w:ascii="Arial" w:hAnsi="Arial" w:cs="Arial"/>
          <w:sz w:val="22"/>
          <w:szCs w:val="22"/>
          <w:lang w:val="fr-FR"/>
        </w:rPr>
        <w:t>priorités politiques autour des enjeux identifiés.</w:t>
      </w:r>
      <w:r w:rsidR="006E4A51" w:rsidRPr="00C07A8E">
        <w:rPr>
          <w:rFonts w:ascii="Arial" w:hAnsi="Arial" w:cs="Arial"/>
          <w:sz w:val="22"/>
          <w:szCs w:val="22"/>
          <w:lang w:val="fr-FR"/>
        </w:rPr>
        <w:t xml:space="preserve"> </w:t>
      </w:r>
      <w:r w:rsidR="00B971C8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Elle débouchera sur une</w:t>
      </w:r>
      <w:r w:rsidR="006E4A51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synthèse </w:t>
      </w:r>
      <w:r w:rsidR="006E4A51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lastRenderedPageBreak/>
        <w:t>problématisée</w:t>
      </w:r>
      <w:r w:rsidR="00B971C8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de l’axe thématique</w:t>
      </w:r>
      <w:r w:rsidR="006E4A51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, </w:t>
      </w:r>
      <w:r w:rsidR="00B971C8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mettant en perspectives les questions pré-identifiées par rapport aux questions d’intérêt public</w:t>
      </w:r>
      <w:r w:rsidR="006E4A51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  <w:r w:rsidR="00B971C8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les moins</w:t>
      </w:r>
      <w:r w:rsidR="006E4A51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couvertes par la recherche. </w:t>
      </w:r>
    </w:p>
    <w:p w:rsidR="006D7D27" w:rsidRPr="00C07A8E" w:rsidRDefault="006D7D27" w:rsidP="0078386E">
      <w:pPr>
        <w:spacing w:line="276" w:lineRule="auto"/>
        <w:ind w:left="1080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</w:p>
    <w:p w:rsidR="009C627A" w:rsidRPr="00C07A8E" w:rsidRDefault="000C0A85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La durée envisagée pour la réalisation de cette m</w:t>
      </w:r>
      <w:r w:rsidR="00522560">
        <w:rPr>
          <w:rFonts w:ascii="Arial" w:eastAsia="Times New Roman" w:hAnsi="Arial" w:cs="Arial"/>
          <w:bCs/>
          <w:sz w:val="22"/>
          <w:szCs w:val="22"/>
          <w:lang w:val="fr-FR" w:eastAsia="en-GB"/>
        </w:rPr>
        <w:t>ission est de quatre 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semaines. </w:t>
      </w:r>
    </w:p>
    <w:p w:rsidR="009C627A" w:rsidRPr="009E38E6" w:rsidRDefault="009C627A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E427BC" w:rsidRPr="00E427BC" w:rsidRDefault="00E427B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  <w:r w:rsidRPr="00522560">
        <w:rPr>
          <w:rFonts w:ascii="Arial" w:eastAsia="Times New Roman" w:hAnsi="Arial" w:cs="Arial"/>
          <w:b/>
          <w:bCs/>
          <w:szCs w:val="22"/>
          <w:lang w:val="fr-FR" w:eastAsia="en-GB"/>
        </w:rPr>
        <w:t xml:space="preserve">Livrables attendus </w:t>
      </w:r>
    </w:p>
    <w:p w:rsidR="00E427BC" w:rsidRPr="00E427BC" w:rsidRDefault="00E427B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72223E" w:rsidRPr="00C07A8E" w:rsidRDefault="0072223E" w:rsidP="0078386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Rapport </w:t>
      </w:r>
      <w:r w:rsidR="00522560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d’étude de la portée ou </w:t>
      </w:r>
      <w:proofErr w:type="spellStart"/>
      <w:r w:rsidR="00C07A8E" w:rsidRPr="00522560">
        <w:rPr>
          <w:rFonts w:ascii="Arial" w:eastAsia="Times New Roman" w:hAnsi="Arial" w:cs="Arial"/>
          <w:bCs/>
          <w:i/>
          <w:sz w:val="22"/>
          <w:szCs w:val="22"/>
          <w:lang w:val="fr-FR" w:eastAsia="en-GB"/>
        </w:rPr>
        <w:t>scoping</w:t>
      </w:r>
      <w:proofErr w:type="spellEnd"/>
      <w:r w:rsidR="00C07A8E" w:rsidRPr="00522560">
        <w:rPr>
          <w:rFonts w:ascii="Arial" w:eastAsia="Times New Roman" w:hAnsi="Arial" w:cs="Arial"/>
          <w:bCs/>
          <w:i/>
          <w:sz w:val="22"/>
          <w:szCs w:val="22"/>
          <w:lang w:val="fr-FR" w:eastAsia="en-GB"/>
        </w:rPr>
        <w:t xml:space="preserve"> </w:t>
      </w:r>
      <w:proofErr w:type="spellStart"/>
      <w:r w:rsidR="00522560" w:rsidRPr="00522560">
        <w:rPr>
          <w:rFonts w:ascii="Arial" w:eastAsia="Times New Roman" w:hAnsi="Arial" w:cs="Arial"/>
          <w:bCs/>
          <w:i/>
          <w:sz w:val="22"/>
          <w:szCs w:val="22"/>
          <w:lang w:val="fr-FR" w:eastAsia="en-GB"/>
        </w:rPr>
        <w:t>review</w:t>
      </w:r>
      <w:proofErr w:type="spellEnd"/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 </w:t>
      </w:r>
      <w:r w:rsidR="00AC7B2B" w:rsidRPr="00C07A8E">
        <w:rPr>
          <w:rFonts w:ascii="Arial" w:hAnsi="Arial" w:cs="Arial"/>
          <w:color w:val="000000"/>
          <w:sz w:val="22"/>
          <w:szCs w:val="22"/>
          <w:lang w:val="fr-FR"/>
        </w:rPr>
        <w:t xml:space="preserve">incluant un </w:t>
      </w:r>
      <w:r w:rsidR="00C07A8E">
        <w:rPr>
          <w:rFonts w:ascii="Arial" w:hAnsi="Arial" w:cs="Arial"/>
          <w:color w:val="000000"/>
          <w:sz w:val="22"/>
          <w:szCs w:val="22"/>
          <w:lang w:val="fr-FR"/>
        </w:rPr>
        <w:t>inventaire</w:t>
      </w:r>
      <w:r w:rsidRPr="00C07A8E">
        <w:rPr>
          <w:rFonts w:ascii="Arial" w:hAnsi="Arial" w:cs="Arial"/>
          <w:color w:val="000000"/>
          <w:sz w:val="22"/>
          <w:szCs w:val="22"/>
          <w:lang w:val="fr-FR"/>
        </w:rPr>
        <w:t xml:space="preserve"> structuré et </w:t>
      </w:r>
      <w:r w:rsidR="00C07A8E">
        <w:rPr>
          <w:rFonts w:ascii="Arial" w:hAnsi="Arial" w:cs="Arial"/>
          <w:color w:val="000000"/>
          <w:sz w:val="22"/>
          <w:szCs w:val="22"/>
          <w:lang w:val="fr-FR"/>
        </w:rPr>
        <w:t>analytique</w:t>
      </w:r>
      <w:r w:rsidRPr="00C07A8E">
        <w:rPr>
          <w:rFonts w:ascii="Arial" w:hAnsi="Arial" w:cs="Arial"/>
          <w:color w:val="000000"/>
          <w:sz w:val="22"/>
          <w:szCs w:val="22"/>
          <w:lang w:val="fr-FR"/>
        </w:rPr>
        <w:t xml:space="preserve"> des </w:t>
      </w:r>
      <w:r w:rsidR="00C07A8E">
        <w:rPr>
          <w:rFonts w:ascii="Arial" w:hAnsi="Arial" w:cs="Arial"/>
          <w:color w:val="000000"/>
          <w:sz w:val="22"/>
          <w:szCs w:val="22"/>
          <w:lang w:val="fr-FR"/>
        </w:rPr>
        <w:t xml:space="preserve">connaissances </w:t>
      </w:r>
      <w:r w:rsidRPr="00C07A8E">
        <w:rPr>
          <w:rFonts w:ascii="Arial" w:hAnsi="Arial" w:cs="Arial"/>
          <w:color w:val="000000"/>
          <w:sz w:val="22"/>
          <w:szCs w:val="22"/>
          <w:lang w:val="fr-FR"/>
        </w:rPr>
        <w:t>scientifiques</w:t>
      </w:r>
      <w:r w:rsidR="00AC7B2B" w:rsidRPr="00C07A8E">
        <w:rPr>
          <w:rFonts w:ascii="Arial" w:hAnsi="Arial" w:cs="Arial"/>
          <w:color w:val="000000"/>
          <w:sz w:val="22"/>
          <w:szCs w:val="22"/>
          <w:lang w:val="fr-FR"/>
        </w:rPr>
        <w:t xml:space="preserve"> et des p</w:t>
      </w:r>
      <w:r w:rsidR="00C07A8E">
        <w:rPr>
          <w:rFonts w:ascii="Arial" w:hAnsi="Arial" w:cs="Arial"/>
          <w:color w:val="000000"/>
          <w:sz w:val="22"/>
          <w:szCs w:val="22"/>
          <w:lang w:val="fr-FR"/>
        </w:rPr>
        <w:t xml:space="preserve">riorités de politiques publiques existantes sur la problématique de l’axe thématique ; </w:t>
      </w:r>
    </w:p>
    <w:p w:rsidR="00C07A8E" w:rsidRPr="00C07A8E" w:rsidRDefault="00C07A8E" w:rsidP="0078386E">
      <w:pPr>
        <w:pStyle w:val="Paragraphedeliste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</w:p>
    <w:p w:rsidR="009E38E6" w:rsidRDefault="0072223E" w:rsidP="0078386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Note de synthèse stratégique (5 pages maximum) 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mettant en perspective les questions de recherche pré-identifiées par rapport à une analyse de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l’écart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entre les connaissances disponibles et les </w:t>
      </w:r>
      <w:r w:rsidR="009E38E6"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enjeux </w:t>
      </w:r>
      <w:r w:rsidR="00522560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politiques liés à 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l’axe 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thématique, et incluant 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une sélection de questions de recherche correspondant aux 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priorités </w:t>
      </w:r>
      <w:r w:rsidRP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politiques peu couvert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es par la </w:t>
      </w:r>
      <w:r w:rsidR="007B2BE3">
        <w:rPr>
          <w:rFonts w:ascii="Arial" w:eastAsia="Times New Roman" w:hAnsi="Arial" w:cs="Arial"/>
          <w:bCs/>
          <w:sz w:val="22"/>
          <w:szCs w:val="22"/>
          <w:lang w:val="fr-FR" w:eastAsia="en-GB"/>
        </w:rPr>
        <w:t>littérature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 ; </w:t>
      </w:r>
    </w:p>
    <w:p w:rsidR="00C07A8E" w:rsidRPr="00522560" w:rsidRDefault="00C07A8E" w:rsidP="0052256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</w:p>
    <w:p w:rsidR="0072223E" w:rsidRPr="00C07A8E" w:rsidRDefault="00D975F3" w:rsidP="0078386E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>Bibliographie consultée.</w:t>
      </w:r>
    </w:p>
    <w:p w:rsidR="00C07A8E" w:rsidRPr="009E38E6" w:rsidRDefault="00C07A8E" w:rsidP="0078386E">
      <w:pPr>
        <w:pStyle w:val="Paragraphedeliste"/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9E38E6" w:rsidRPr="00522560" w:rsidRDefault="009E38E6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Cs w:val="22"/>
          <w:lang w:val="fr-FR" w:eastAsia="en-GB"/>
        </w:rPr>
      </w:pPr>
      <w:r w:rsidRPr="00522560">
        <w:rPr>
          <w:rFonts w:ascii="Arial" w:eastAsia="Times New Roman" w:hAnsi="Arial" w:cs="Arial"/>
          <w:b/>
          <w:bCs/>
          <w:szCs w:val="22"/>
          <w:lang w:val="fr-FR" w:eastAsia="en-GB"/>
        </w:rPr>
        <w:t xml:space="preserve">Profils recherchés </w:t>
      </w:r>
    </w:p>
    <w:p w:rsidR="009C627A" w:rsidRDefault="009C627A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F537EF" w:rsidRPr="00C07A8E" w:rsidRDefault="00C07A8E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07A8E">
        <w:rPr>
          <w:rFonts w:ascii="Arial" w:hAnsi="Arial" w:cs="Arial"/>
          <w:sz w:val="22"/>
          <w:szCs w:val="22"/>
          <w:lang w:val="fr-FR"/>
        </w:rPr>
        <w:t xml:space="preserve">GDN invite les </w:t>
      </w:r>
      <w:proofErr w:type="spellStart"/>
      <w:r w:rsidRPr="00C07A8E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Pr="00C07A8E">
        <w:rPr>
          <w:rFonts w:ascii="Arial" w:hAnsi="Arial" w:cs="Arial"/>
          <w:sz w:val="22"/>
          <w:szCs w:val="22"/>
          <w:lang w:val="fr-FR"/>
        </w:rPr>
        <w:t xml:space="preserve"> tanks basés en Afriq</w:t>
      </w:r>
      <w:r w:rsidR="0004694C">
        <w:rPr>
          <w:rFonts w:ascii="Arial" w:hAnsi="Arial" w:cs="Arial"/>
          <w:sz w:val="22"/>
          <w:szCs w:val="22"/>
          <w:lang w:val="fr-FR"/>
        </w:rPr>
        <w:t>ue de l’Ouest francophone</w:t>
      </w:r>
      <w:r>
        <w:rPr>
          <w:rFonts w:ascii="Arial" w:hAnsi="Arial" w:cs="Arial"/>
          <w:sz w:val="22"/>
          <w:szCs w:val="22"/>
          <w:lang w:val="fr-FR"/>
        </w:rPr>
        <w:t xml:space="preserve"> à </w:t>
      </w:r>
      <w:r w:rsidR="007B2BE3">
        <w:rPr>
          <w:rFonts w:ascii="Arial" w:hAnsi="Arial" w:cs="Arial"/>
          <w:sz w:val="22"/>
          <w:szCs w:val="22"/>
          <w:lang w:val="fr-FR"/>
        </w:rPr>
        <w:t>exprimer leur intérêt</w:t>
      </w:r>
      <w:r>
        <w:rPr>
          <w:rFonts w:ascii="Arial" w:hAnsi="Arial" w:cs="Arial"/>
          <w:sz w:val="22"/>
          <w:szCs w:val="22"/>
          <w:lang w:val="fr-FR"/>
        </w:rPr>
        <w:t xml:space="preserve"> dans le cadre de cet appel.</w:t>
      </w:r>
    </w:p>
    <w:p w:rsidR="00F537EF" w:rsidRPr="00C07A8E" w:rsidRDefault="00F537EF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F537EF" w:rsidRPr="00C07A8E" w:rsidRDefault="00C07A8E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  <w:r>
        <w:rPr>
          <w:rFonts w:ascii="Arial" w:hAnsi="Arial" w:cs="Arial"/>
          <w:sz w:val="22"/>
          <w:szCs w:val="22"/>
          <w:lang w:val="fr-FR"/>
        </w:rPr>
        <w:t>Une condition essentielle est de pouvoir</w:t>
      </w:r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 démontrer une </w:t>
      </w:r>
      <w:r>
        <w:rPr>
          <w:rFonts w:ascii="Arial" w:hAnsi="Arial" w:cs="Arial"/>
          <w:sz w:val="22"/>
          <w:szCs w:val="22"/>
          <w:lang w:val="fr-FR"/>
        </w:rPr>
        <w:t>réelle capacité</w:t>
      </w:r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 à collaborer avec un </w:t>
      </w:r>
      <w:r>
        <w:rPr>
          <w:rFonts w:ascii="Arial" w:hAnsi="Arial" w:cs="Arial"/>
          <w:sz w:val="22"/>
          <w:szCs w:val="22"/>
          <w:lang w:val="fr-FR"/>
        </w:rPr>
        <w:t xml:space="preserve">autre </w:t>
      </w:r>
      <w:proofErr w:type="spellStart"/>
      <w:r w:rsidR="00717DCB" w:rsidRPr="00C07A8E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 tank </w:t>
      </w:r>
      <w:r w:rsidR="0004694C">
        <w:rPr>
          <w:rFonts w:ascii="Arial" w:hAnsi="Arial" w:cs="Arial"/>
          <w:sz w:val="22"/>
          <w:szCs w:val="22"/>
          <w:lang w:val="fr-FR"/>
        </w:rPr>
        <w:t>de la région</w:t>
      </w:r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F537EF" w:rsidRPr="00C07A8E" w:rsidRDefault="00F537EF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F537EF" w:rsidRPr="00C07A8E" w:rsidRDefault="00C07A8E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07A8E">
        <w:rPr>
          <w:rFonts w:ascii="Arial" w:hAnsi="Arial" w:cs="Arial"/>
          <w:sz w:val="22"/>
          <w:szCs w:val="22"/>
          <w:lang w:val="fr-FR"/>
        </w:rPr>
        <w:t xml:space="preserve">Les </w:t>
      </w:r>
      <w:proofErr w:type="spellStart"/>
      <w:r w:rsidRPr="00C07A8E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Pr="00C07A8E">
        <w:rPr>
          <w:rFonts w:ascii="Arial" w:hAnsi="Arial" w:cs="Arial"/>
          <w:sz w:val="22"/>
          <w:szCs w:val="22"/>
          <w:lang w:val="fr-FR"/>
        </w:rPr>
        <w:t xml:space="preserve"> tanks soumissionnaires doivent </w:t>
      </w:r>
      <w:r w:rsidR="007B2BE3">
        <w:rPr>
          <w:rFonts w:ascii="Arial" w:hAnsi="Arial" w:cs="Arial"/>
          <w:sz w:val="22"/>
          <w:szCs w:val="22"/>
          <w:lang w:val="fr-FR"/>
        </w:rPr>
        <w:t xml:space="preserve">également </w:t>
      </w:r>
      <w:r>
        <w:rPr>
          <w:rFonts w:ascii="Arial" w:hAnsi="Arial" w:cs="Arial"/>
          <w:sz w:val="22"/>
          <w:szCs w:val="22"/>
          <w:lang w:val="fr-FR"/>
        </w:rPr>
        <w:t xml:space="preserve">être en mesure de démontrer les compétences suivantes : </w:t>
      </w:r>
      <w:r w:rsidR="007B2BE3">
        <w:rPr>
          <w:rFonts w:ascii="Arial" w:hAnsi="Arial" w:cs="Arial"/>
          <w:sz w:val="22"/>
          <w:szCs w:val="22"/>
          <w:lang w:val="fr-FR"/>
        </w:rPr>
        <w:tab/>
      </w:r>
      <w:r w:rsidRPr="00C07A8E">
        <w:rPr>
          <w:rFonts w:ascii="Arial" w:hAnsi="Arial" w:cs="Arial"/>
          <w:sz w:val="22"/>
          <w:szCs w:val="22"/>
          <w:lang w:val="fr-FR"/>
        </w:rPr>
        <w:br/>
      </w:r>
    </w:p>
    <w:p w:rsidR="00717DCB" w:rsidRPr="00C07A8E" w:rsidRDefault="00C07A8E" w:rsidP="0078386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07A8E">
        <w:rPr>
          <w:rFonts w:ascii="Arial" w:hAnsi="Arial" w:cs="Arial"/>
          <w:sz w:val="22"/>
          <w:szCs w:val="22"/>
          <w:lang w:val="fr-FR"/>
        </w:rPr>
        <w:t xml:space="preserve">Une expérience avérée en </w:t>
      </w:r>
      <w:r w:rsidR="00717DCB" w:rsidRPr="00C07A8E">
        <w:rPr>
          <w:rFonts w:ascii="Arial" w:hAnsi="Arial" w:cs="Arial"/>
          <w:sz w:val="22"/>
          <w:szCs w:val="22"/>
          <w:lang w:val="fr-FR"/>
        </w:rPr>
        <w:t>analyse des politiques publiques en Afrique de l’Ouest</w:t>
      </w:r>
      <w:r w:rsidRPr="00C07A8E">
        <w:rPr>
          <w:rFonts w:ascii="Arial" w:hAnsi="Arial" w:cs="Arial"/>
          <w:sz w:val="22"/>
          <w:szCs w:val="22"/>
          <w:lang w:val="fr-FR"/>
        </w:rPr>
        <w:t xml:space="preserve"> ; </w:t>
      </w:r>
    </w:p>
    <w:p w:rsidR="00F537EF" w:rsidRPr="00C07A8E" w:rsidRDefault="00C07A8E" w:rsidP="0078386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07A8E">
        <w:rPr>
          <w:rFonts w:ascii="Arial" w:hAnsi="Arial" w:cs="Arial"/>
          <w:sz w:val="22"/>
          <w:szCs w:val="22"/>
          <w:lang w:val="fr-FR"/>
        </w:rPr>
        <w:t>Une e</w:t>
      </w:r>
      <w:r w:rsidR="00717DCB" w:rsidRPr="00C07A8E">
        <w:rPr>
          <w:rFonts w:ascii="Arial" w:hAnsi="Arial" w:cs="Arial"/>
          <w:sz w:val="22"/>
          <w:szCs w:val="22"/>
          <w:lang w:val="fr-FR"/>
        </w:rPr>
        <w:t>x</w:t>
      </w:r>
      <w:r w:rsidRPr="00C07A8E">
        <w:rPr>
          <w:rFonts w:ascii="Arial" w:hAnsi="Arial" w:cs="Arial"/>
          <w:sz w:val="22"/>
          <w:szCs w:val="22"/>
          <w:lang w:val="fr-FR"/>
        </w:rPr>
        <w:t>pertise</w:t>
      </w:r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 en recherche documentaire</w:t>
      </w:r>
      <w:r w:rsidR="009C627A" w:rsidRPr="00C07A8E">
        <w:rPr>
          <w:rFonts w:ascii="Arial" w:hAnsi="Arial" w:cs="Arial"/>
          <w:sz w:val="22"/>
          <w:szCs w:val="22"/>
          <w:lang w:val="fr-FR"/>
        </w:rPr>
        <w:t xml:space="preserve"> </w:t>
      </w:r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critique </w:t>
      </w:r>
      <w:r w:rsidR="009C627A" w:rsidRPr="00C07A8E">
        <w:rPr>
          <w:rFonts w:ascii="Arial" w:hAnsi="Arial" w:cs="Arial"/>
          <w:sz w:val="22"/>
          <w:szCs w:val="22"/>
          <w:lang w:val="fr-FR"/>
        </w:rPr>
        <w:t>(</w:t>
      </w:r>
      <w:r w:rsidR="00717DCB" w:rsidRPr="00C07A8E">
        <w:rPr>
          <w:rFonts w:ascii="Arial" w:hAnsi="Arial" w:cs="Arial"/>
          <w:sz w:val="22"/>
          <w:szCs w:val="22"/>
          <w:lang w:val="fr-FR"/>
        </w:rPr>
        <w:t>revues de littérature systématiques et non systématiques</w:t>
      </w:r>
      <w:r w:rsidRPr="00C07A8E">
        <w:rPr>
          <w:rFonts w:ascii="Arial" w:hAnsi="Arial" w:cs="Arial"/>
          <w:sz w:val="22"/>
          <w:szCs w:val="22"/>
          <w:lang w:val="fr-FR"/>
        </w:rPr>
        <w:t xml:space="preserve"> etc.) ; </w:t>
      </w:r>
    </w:p>
    <w:p w:rsidR="00F537EF" w:rsidRPr="00C07A8E" w:rsidRDefault="00C07A8E" w:rsidP="0078386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07A8E">
        <w:rPr>
          <w:rFonts w:ascii="Arial" w:hAnsi="Arial" w:cs="Arial"/>
          <w:sz w:val="22"/>
          <w:szCs w:val="22"/>
          <w:lang w:val="fr-FR"/>
        </w:rPr>
        <w:t xml:space="preserve">Un réseau établi avec des acteurs académiques, politiques et de la société civile, à l’échelle nationale et/ou régionale </w:t>
      </w:r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; </w:t>
      </w:r>
    </w:p>
    <w:p w:rsidR="00717DCB" w:rsidRPr="00C07A8E" w:rsidRDefault="00C07A8E" w:rsidP="0078386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07A8E">
        <w:rPr>
          <w:rFonts w:ascii="Arial" w:hAnsi="Arial" w:cs="Arial"/>
          <w:sz w:val="22"/>
          <w:szCs w:val="22"/>
          <w:lang w:val="fr-FR"/>
        </w:rPr>
        <w:t xml:space="preserve">Une capacité à diffuser des résultats de recherche de manière stratégique et auprès de publics variés ; </w:t>
      </w:r>
    </w:p>
    <w:p w:rsidR="00F537EF" w:rsidRPr="00C07A8E" w:rsidRDefault="00C07A8E" w:rsidP="0078386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07A8E">
        <w:rPr>
          <w:rFonts w:ascii="Arial" w:hAnsi="Arial" w:cs="Arial"/>
          <w:sz w:val="22"/>
          <w:szCs w:val="22"/>
          <w:lang w:val="fr-FR"/>
        </w:rPr>
        <w:t>Des e</w:t>
      </w:r>
      <w:r w:rsidR="00717DCB" w:rsidRPr="00C07A8E">
        <w:rPr>
          <w:rFonts w:ascii="Arial" w:hAnsi="Arial" w:cs="Arial"/>
          <w:sz w:val="22"/>
          <w:szCs w:val="22"/>
          <w:lang w:val="fr-FR"/>
        </w:rPr>
        <w:t>xemple</w:t>
      </w:r>
      <w:r w:rsidRPr="00C07A8E">
        <w:rPr>
          <w:rFonts w:ascii="Arial" w:hAnsi="Arial" w:cs="Arial"/>
          <w:sz w:val="22"/>
          <w:szCs w:val="22"/>
          <w:lang w:val="fr-FR"/>
        </w:rPr>
        <w:t>s</w:t>
      </w:r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 de collaboration réussie</w:t>
      </w:r>
      <w:r w:rsidRPr="00C07A8E">
        <w:rPr>
          <w:rFonts w:ascii="Arial" w:hAnsi="Arial" w:cs="Arial"/>
          <w:sz w:val="22"/>
          <w:szCs w:val="22"/>
          <w:lang w:val="fr-FR"/>
        </w:rPr>
        <w:t>s</w:t>
      </w:r>
      <w:r w:rsidR="00717DCB" w:rsidRPr="00C07A8E">
        <w:rPr>
          <w:rFonts w:ascii="Arial" w:hAnsi="Arial" w:cs="Arial"/>
          <w:sz w:val="22"/>
          <w:szCs w:val="22"/>
          <w:lang w:val="fr-FR"/>
        </w:rPr>
        <w:t xml:space="preserve"> avec </w:t>
      </w:r>
      <w:r w:rsidRPr="00C07A8E">
        <w:rPr>
          <w:rFonts w:ascii="Arial" w:hAnsi="Arial" w:cs="Arial"/>
          <w:sz w:val="22"/>
          <w:szCs w:val="22"/>
          <w:lang w:val="fr-FR"/>
        </w:rPr>
        <w:t xml:space="preserve">d’autres </w:t>
      </w:r>
      <w:proofErr w:type="spellStart"/>
      <w:r w:rsidRPr="00C07A8E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Pr="00C07A8E">
        <w:rPr>
          <w:rFonts w:ascii="Arial" w:hAnsi="Arial" w:cs="Arial"/>
          <w:sz w:val="22"/>
          <w:szCs w:val="22"/>
          <w:lang w:val="fr-FR"/>
        </w:rPr>
        <w:t xml:space="preserve"> tanks ou organismes de recherche. </w:t>
      </w:r>
    </w:p>
    <w:p w:rsidR="00C07A8E" w:rsidRPr="00C07A8E" w:rsidRDefault="00C07A8E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9C627A" w:rsidRPr="00C07A8E" w:rsidRDefault="00C07A8E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C07A8E">
        <w:rPr>
          <w:rFonts w:ascii="Arial" w:hAnsi="Arial" w:cs="Arial"/>
          <w:sz w:val="22"/>
          <w:szCs w:val="22"/>
          <w:lang w:val="fr-FR"/>
        </w:rPr>
        <w:t>Ces expériences devront être j</w:t>
      </w:r>
      <w:r>
        <w:rPr>
          <w:rFonts w:ascii="Arial" w:hAnsi="Arial" w:cs="Arial"/>
          <w:sz w:val="22"/>
          <w:szCs w:val="22"/>
          <w:lang w:val="fr-FR"/>
        </w:rPr>
        <w:t>ustifiées à travers des exemples de projets, d’expériences professionnelles ou de publications scientifiques.</w:t>
      </w:r>
    </w:p>
    <w:p w:rsidR="009C627A" w:rsidRPr="00C07A8E" w:rsidRDefault="009C627A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E427BC" w:rsidRDefault="00E427B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04694C" w:rsidRDefault="0004694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04694C" w:rsidRPr="00C07A8E" w:rsidRDefault="0004694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E427BC" w:rsidRPr="007B2BE3" w:rsidRDefault="00E427B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Cs w:val="22"/>
          <w:lang w:val="fr-FR" w:eastAsia="en-GB"/>
        </w:rPr>
      </w:pPr>
      <w:r w:rsidRPr="007B2BE3">
        <w:rPr>
          <w:rFonts w:ascii="Arial" w:eastAsia="Times New Roman" w:hAnsi="Arial" w:cs="Arial"/>
          <w:b/>
          <w:bCs/>
          <w:szCs w:val="22"/>
          <w:lang w:val="fr-FR" w:eastAsia="en-GB"/>
        </w:rPr>
        <w:lastRenderedPageBreak/>
        <w:t xml:space="preserve">Budget </w:t>
      </w:r>
    </w:p>
    <w:p w:rsidR="00E427BC" w:rsidRPr="009C627A" w:rsidRDefault="00E427BC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</w:p>
    <w:p w:rsidR="009C627A" w:rsidRDefault="00AC7B2B" w:rsidP="0078386E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fr-FR" w:eastAsia="en-GB"/>
        </w:rPr>
      </w:pP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>Une subvention</w:t>
      </w:r>
      <w:r w:rsidR="00F602D9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exploratoire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de </w:t>
      </w:r>
      <w:r w:rsidR="009C627A" w:rsidRPr="009C627A">
        <w:rPr>
          <w:rFonts w:ascii="Arial" w:eastAsia="Times New Roman" w:hAnsi="Arial" w:cs="Arial"/>
          <w:bCs/>
          <w:sz w:val="22"/>
          <w:szCs w:val="22"/>
          <w:lang w:val="fr-FR" w:eastAsia="en-GB"/>
        </w:rPr>
        <w:t>4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,</w:t>
      </w:r>
      <w:r w:rsidR="007B2BE3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000 euros, à répartir entre les deux </w:t>
      </w:r>
      <w:proofErr w:type="spellStart"/>
      <w:r w:rsidR="007B2BE3">
        <w:rPr>
          <w:rFonts w:ascii="Arial" w:eastAsia="Times New Roman" w:hAnsi="Arial" w:cs="Arial"/>
          <w:bCs/>
          <w:sz w:val="22"/>
          <w:szCs w:val="22"/>
          <w:lang w:val="fr-FR" w:eastAsia="en-GB"/>
        </w:rPr>
        <w:t>think</w:t>
      </w:r>
      <w:proofErr w:type="spellEnd"/>
      <w:r w:rsidR="007B2BE3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tanks partenaires, 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est 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>prévue</w:t>
      </w:r>
      <w:r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p</w:t>
      </w:r>
      <w:r w:rsidR="00C07A8E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our </w:t>
      </w:r>
      <w:r w:rsidR="00F602D9">
        <w:rPr>
          <w:rFonts w:ascii="Arial" w:eastAsia="Times New Roman" w:hAnsi="Arial" w:cs="Arial"/>
          <w:bCs/>
          <w:sz w:val="22"/>
          <w:szCs w:val="22"/>
          <w:lang w:val="fr-FR" w:eastAsia="en-GB"/>
        </w:rPr>
        <w:t>accompagner le travail sur chaque axe thématique.</w:t>
      </w:r>
      <w:r w:rsidR="007B2BE3">
        <w:rPr>
          <w:rFonts w:ascii="Arial" w:eastAsia="Times New Roman" w:hAnsi="Arial" w:cs="Arial"/>
          <w:bCs/>
          <w:sz w:val="22"/>
          <w:szCs w:val="22"/>
          <w:lang w:val="fr-FR" w:eastAsia="en-GB"/>
        </w:rPr>
        <w:t xml:space="preserve"> </w:t>
      </w:r>
    </w:p>
    <w:p w:rsidR="00E427BC" w:rsidRPr="007B2BE3" w:rsidRDefault="00E427B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Cs w:val="22"/>
          <w:lang w:val="fr-FR" w:eastAsia="en-GB"/>
        </w:rPr>
      </w:pPr>
      <w:r w:rsidRPr="007B2BE3">
        <w:rPr>
          <w:rFonts w:ascii="Arial" w:eastAsia="Times New Roman" w:hAnsi="Arial" w:cs="Arial"/>
          <w:b/>
          <w:bCs/>
          <w:szCs w:val="22"/>
          <w:lang w:val="fr-FR" w:eastAsia="en-GB"/>
        </w:rPr>
        <w:br/>
        <w:t>Modalités de soumission</w:t>
      </w:r>
    </w:p>
    <w:p w:rsidR="00956FE8" w:rsidRPr="00382061" w:rsidRDefault="00956FE8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382061"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  <w:br/>
      </w:r>
      <w:r w:rsidRPr="00382061">
        <w:rPr>
          <w:rFonts w:ascii="Arial" w:hAnsi="Arial" w:cs="Arial"/>
          <w:sz w:val="22"/>
          <w:szCs w:val="22"/>
          <w:lang w:val="fr-FR"/>
        </w:rPr>
        <w:t xml:space="preserve">GDN invite les </w:t>
      </w:r>
      <w:proofErr w:type="spellStart"/>
      <w:r w:rsidRPr="00382061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Pr="00382061">
        <w:rPr>
          <w:rFonts w:ascii="Arial" w:hAnsi="Arial" w:cs="Arial"/>
          <w:sz w:val="22"/>
          <w:szCs w:val="22"/>
          <w:lang w:val="fr-FR"/>
        </w:rPr>
        <w:t xml:space="preserve"> tanks à </w:t>
      </w:r>
      <w:r w:rsidR="00382061" w:rsidRPr="00382061">
        <w:rPr>
          <w:rFonts w:ascii="Arial" w:hAnsi="Arial" w:cs="Arial"/>
          <w:sz w:val="22"/>
          <w:szCs w:val="22"/>
          <w:lang w:val="fr-FR"/>
        </w:rPr>
        <w:t xml:space="preserve">exprimer leur </w:t>
      </w:r>
      <w:r w:rsidRPr="00382061">
        <w:rPr>
          <w:rFonts w:ascii="Arial" w:hAnsi="Arial" w:cs="Arial"/>
          <w:sz w:val="22"/>
          <w:szCs w:val="22"/>
          <w:lang w:val="fr-FR"/>
        </w:rPr>
        <w:t xml:space="preserve">intérêt </w:t>
      </w:r>
      <w:r w:rsidRPr="0078386E">
        <w:rPr>
          <w:rFonts w:ascii="Arial" w:hAnsi="Arial" w:cs="Arial"/>
          <w:sz w:val="22"/>
          <w:szCs w:val="22"/>
          <w:u w:val="single"/>
          <w:lang w:val="fr-FR"/>
        </w:rPr>
        <w:t>avant le 26 septembre 2025</w:t>
      </w:r>
      <w:r w:rsidRPr="00382061">
        <w:rPr>
          <w:rFonts w:ascii="Arial" w:hAnsi="Arial" w:cs="Arial"/>
          <w:sz w:val="22"/>
          <w:szCs w:val="22"/>
          <w:lang w:val="fr-FR"/>
        </w:rPr>
        <w:t xml:space="preserve">. </w:t>
      </w:r>
      <w:r w:rsidR="00D975F3">
        <w:rPr>
          <w:rFonts w:ascii="Arial" w:hAnsi="Arial" w:cs="Arial"/>
          <w:sz w:val="22"/>
          <w:szCs w:val="22"/>
          <w:lang w:val="fr-FR"/>
        </w:rPr>
        <w:t xml:space="preserve">Les </w:t>
      </w:r>
      <w:r w:rsidR="00382061" w:rsidRPr="00382061">
        <w:rPr>
          <w:rFonts w:ascii="Arial" w:hAnsi="Arial" w:cs="Arial"/>
          <w:sz w:val="22"/>
          <w:szCs w:val="22"/>
          <w:lang w:val="fr-FR"/>
        </w:rPr>
        <w:t xml:space="preserve">équipes intéressées sont invitées à envoyer les documents suivants </w:t>
      </w:r>
      <w:r w:rsidR="00D975F3">
        <w:rPr>
          <w:rFonts w:ascii="Arial" w:hAnsi="Arial" w:cs="Arial"/>
          <w:sz w:val="22"/>
          <w:szCs w:val="22"/>
          <w:lang w:val="fr-FR"/>
        </w:rPr>
        <w:t xml:space="preserve">(en français) </w:t>
      </w:r>
      <w:r w:rsidR="00382061" w:rsidRPr="00382061">
        <w:rPr>
          <w:rFonts w:ascii="Arial" w:hAnsi="Arial" w:cs="Arial"/>
          <w:sz w:val="22"/>
          <w:szCs w:val="22"/>
          <w:lang w:val="fr-FR"/>
        </w:rPr>
        <w:t xml:space="preserve">à l’adresse email suivante : </w:t>
      </w:r>
      <w:hyperlink r:id="rId11" w:history="1">
        <w:r w:rsidR="0078386E" w:rsidRPr="00036C8C">
          <w:rPr>
            <w:rStyle w:val="Lienhypertexte"/>
            <w:rFonts w:ascii="Arial" w:hAnsi="Arial" w:cs="Arial"/>
            <w:sz w:val="22"/>
            <w:szCs w:val="22"/>
            <w:lang w:val="fr-FR"/>
          </w:rPr>
          <w:t>recherchefrancophone@gdn.int</w:t>
        </w:r>
      </w:hyperlink>
      <w:r w:rsidR="0078386E">
        <w:rPr>
          <w:rFonts w:ascii="Arial" w:hAnsi="Arial" w:cs="Arial"/>
          <w:sz w:val="22"/>
          <w:szCs w:val="22"/>
          <w:lang w:val="fr-FR"/>
        </w:rPr>
        <w:t xml:space="preserve"> </w:t>
      </w:r>
      <w:r w:rsidR="00382061" w:rsidRPr="00382061">
        <w:rPr>
          <w:rFonts w:ascii="Arial" w:hAnsi="Arial" w:cs="Arial"/>
          <w:sz w:val="22"/>
          <w:szCs w:val="22"/>
          <w:lang w:val="fr-FR"/>
        </w:rPr>
        <w:tab/>
      </w:r>
      <w:r w:rsidR="00382061" w:rsidRPr="00382061">
        <w:rPr>
          <w:rFonts w:ascii="Arial" w:hAnsi="Arial" w:cs="Arial"/>
          <w:sz w:val="22"/>
          <w:szCs w:val="22"/>
          <w:lang w:val="fr-FR"/>
        </w:rPr>
        <w:br/>
      </w:r>
    </w:p>
    <w:p w:rsidR="00956FE8" w:rsidRPr="00382061" w:rsidRDefault="0078386E" w:rsidP="0078386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Une note de manifestatio</w:t>
      </w:r>
      <w:r w:rsidR="00382061" w:rsidRPr="00382061">
        <w:rPr>
          <w:rFonts w:ascii="Arial" w:hAnsi="Arial" w:cs="Arial"/>
          <w:sz w:val="22"/>
          <w:szCs w:val="22"/>
          <w:lang w:val="fr-FR"/>
        </w:rPr>
        <w:t>n d’intérêt selon le modèle fourni en annexe ;</w:t>
      </w:r>
    </w:p>
    <w:p w:rsidR="00956FE8" w:rsidRPr="00382061" w:rsidRDefault="00382061" w:rsidP="0078386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382061">
        <w:rPr>
          <w:rFonts w:ascii="Arial" w:hAnsi="Arial" w:cs="Arial"/>
          <w:sz w:val="22"/>
          <w:szCs w:val="22"/>
          <w:lang w:val="fr-FR"/>
        </w:rPr>
        <w:t>Une lettre de soutien</w:t>
      </w:r>
      <w:r w:rsidR="00956FE8" w:rsidRPr="00382061">
        <w:rPr>
          <w:rFonts w:ascii="Arial" w:hAnsi="Arial" w:cs="Arial"/>
          <w:sz w:val="22"/>
          <w:szCs w:val="22"/>
          <w:lang w:val="fr-FR"/>
        </w:rPr>
        <w:t xml:space="preserve"> </w:t>
      </w:r>
      <w:r w:rsidRPr="00382061">
        <w:rPr>
          <w:rFonts w:ascii="Arial" w:hAnsi="Arial" w:cs="Arial"/>
          <w:sz w:val="22"/>
          <w:szCs w:val="22"/>
          <w:lang w:val="fr-FR"/>
        </w:rPr>
        <w:t>du responsable de l’</w:t>
      </w:r>
      <w:r w:rsidR="0078386E">
        <w:rPr>
          <w:rFonts w:ascii="Arial" w:hAnsi="Arial" w:cs="Arial"/>
          <w:sz w:val="22"/>
          <w:szCs w:val="22"/>
          <w:lang w:val="fr-FR"/>
        </w:rPr>
        <w:t>institution</w:t>
      </w:r>
      <w:r w:rsidRPr="00382061">
        <w:rPr>
          <w:rFonts w:ascii="Arial" w:hAnsi="Arial" w:cs="Arial"/>
          <w:sz w:val="22"/>
          <w:szCs w:val="22"/>
          <w:lang w:val="fr-FR"/>
        </w:rPr>
        <w:t xml:space="preserve"> selon le modèle </w:t>
      </w:r>
      <w:r w:rsidR="0078386E">
        <w:rPr>
          <w:rFonts w:ascii="Arial" w:hAnsi="Arial" w:cs="Arial"/>
          <w:sz w:val="22"/>
          <w:szCs w:val="22"/>
          <w:lang w:val="fr-FR"/>
        </w:rPr>
        <w:t>fourni en annexe</w:t>
      </w:r>
      <w:r w:rsidRPr="00382061">
        <w:rPr>
          <w:rFonts w:ascii="Arial" w:hAnsi="Arial" w:cs="Arial"/>
          <w:sz w:val="22"/>
          <w:szCs w:val="22"/>
          <w:lang w:val="fr-FR"/>
        </w:rPr>
        <w:t> ;</w:t>
      </w:r>
    </w:p>
    <w:p w:rsidR="00956FE8" w:rsidRPr="00382061" w:rsidRDefault="00382061" w:rsidP="0078386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382061">
        <w:rPr>
          <w:rFonts w:ascii="Arial" w:hAnsi="Arial" w:cs="Arial"/>
          <w:sz w:val="22"/>
          <w:szCs w:val="22"/>
          <w:lang w:val="fr-FR"/>
        </w:rPr>
        <w:t xml:space="preserve">Les </w:t>
      </w:r>
      <w:proofErr w:type="spellStart"/>
      <w:r w:rsidRPr="00382061">
        <w:rPr>
          <w:rFonts w:ascii="Arial" w:hAnsi="Arial" w:cs="Arial"/>
          <w:sz w:val="22"/>
          <w:szCs w:val="22"/>
          <w:lang w:val="fr-FR"/>
        </w:rPr>
        <w:t>CVs</w:t>
      </w:r>
      <w:proofErr w:type="spellEnd"/>
      <w:r w:rsidRPr="00382061">
        <w:rPr>
          <w:rFonts w:ascii="Arial" w:hAnsi="Arial" w:cs="Arial"/>
          <w:sz w:val="22"/>
          <w:szCs w:val="22"/>
          <w:lang w:val="fr-FR"/>
        </w:rPr>
        <w:t xml:space="preserve"> des membres de l’équipe </w:t>
      </w:r>
      <w:r w:rsidR="0078386E">
        <w:rPr>
          <w:rFonts w:ascii="Arial" w:hAnsi="Arial" w:cs="Arial"/>
          <w:sz w:val="22"/>
          <w:szCs w:val="22"/>
          <w:lang w:val="fr-FR"/>
        </w:rPr>
        <w:t>proposés</w:t>
      </w:r>
      <w:r w:rsidRPr="00382061">
        <w:rPr>
          <w:rFonts w:ascii="Arial" w:hAnsi="Arial" w:cs="Arial"/>
          <w:sz w:val="22"/>
          <w:szCs w:val="22"/>
          <w:lang w:val="fr-FR"/>
        </w:rPr>
        <w:t xml:space="preserve"> pour cette mission. </w:t>
      </w:r>
    </w:p>
    <w:p w:rsidR="00E427BC" w:rsidRDefault="00E427BC" w:rsidP="0078386E">
      <w:pPr>
        <w:spacing w:line="276" w:lineRule="auto"/>
        <w:jc w:val="both"/>
        <w:rPr>
          <w:lang w:val="fr-FR"/>
        </w:rPr>
      </w:pPr>
    </w:p>
    <w:p w:rsidR="007B2BE3" w:rsidRPr="00382061" w:rsidRDefault="007B2BE3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9C627A" w:rsidRPr="007B2BE3" w:rsidRDefault="00382061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Cs w:val="22"/>
          <w:lang w:val="fr-FR" w:eastAsia="en-GB"/>
        </w:rPr>
      </w:pPr>
      <w:r w:rsidRPr="007B2BE3">
        <w:rPr>
          <w:rFonts w:ascii="Arial" w:eastAsia="Times New Roman" w:hAnsi="Arial" w:cs="Arial"/>
          <w:b/>
          <w:bCs/>
          <w:szCs w:val="22"/>
          <w:lang w:val="fr-FR" w:eastAsia="en-GB"/>
        </w:rPr>
        <w:t>Processus et calendrier de sélection</w:t>
      </w:r>
    </w:p>
    <w:p w:rsidR="00F537EF" w:rsidRPr="00382061" w:rsidRDefault="00F537EF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F537EF" w:rsidRPr="00382061" w:rsidRDefault="00382061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382061">
        <w:rPr>
          <w:rFonts w:ascii="Arial" w:hAnsi="Arial" w:cs="Arial"/>
          <w:sz w:val="22"/>
          <w:szCs w:val="22"/>
          <w:lang w:val="fr-FR"/>
        </w:rPr>
        <w:t xml:space="preserve">Les soumissions seront examinées jusqu’au 3 octobre, selon les critères </w:t>
      </w:r>
      <w:r w:rsidR="0078386E">
        <w:rPr>
          <w:rFonts w:ascii="Arial" w:hAnsi="Arial" w:cs="Arial"/>
          <w:sz w:val="22"/>
          <w:szCs w:val="22"/>
          <w:lang w:val="fr-FR"/>
        </w:rPr>
        <w:t>décrits</w:t>
      </w:r>
      <w:r w:rsidRPr="00382061">
        <w:rPr>
          <w:rFonts w:ascii="Arial" w:hAnsi="Arial" w:cs="Arial"/>
          <w:sz w:val="22"/>
          <w:szCs w:val="22"/>
          <w:lang w:val="fr-FR"/>
        </w:rPr>
        <w:t xml:space="preserve"> plus haut.</w:t>
      </w:r>
    </w:p>
    <w:p w:rsidR="00F537EF" w:rsidRPr="00382061" w:rsidRDefault="00F537EF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382061">
        <w:rPr>
          <w:rFonts w:ascii="Arial" w:hAnsi="Arial" w:cs="Arial"/>
          <w:sz w:val="22"/>
          <w:szCs w:val="22"/>
          <w:lang w:val="fr-FR"/>
        </w:rPr>
        <w:br/>
        <w:t xml:space="preserve">A l’issue de </w:t>
      </w:r>
      <w:r w:rsidR="00382061" w:rsidRPr="00382061">
        <w:rPr>
          <w:rFonts w:ascii="Arial" w:hAnsi="Arial" w:cs="Arial"/>
          <w:sz w:val="22"/>
          <w:szCs w:val="22"/>
          <w:lang w:val="fr-FR"/>
        </w:rPr>
        <w:t>cette phase</w:t>
      </w:r>
      <w:r w:rsidRPr="00382061">
        <w:rPr>
          <w:rFonts w:ascii="Arial" w:hAnsi="Arial" w:cs="Arial"/>
          <w:sz w:val="22"/>
          <w:szCs w:val="22"/>
          <w:lang w:val="fr-FR"/>
        </w:rPr>
        <w:t>, une proposition d</w:t>
      </w:r>
      <w:r w:rsidR="00382061" w:rsidRPr="00382061">
        <w:rPr>
          <w:rFonts w:ascii="Arial" w:hAnsi="Arial" w:cs="Arial"/>
          <w:sz w:val="22"/>
          <w:szCs w:val="22"/>
          <w:lang w:val="fr-FR"/>
        </w:rPr>
        <w:t xml:space="preserve">e collaboration sera faite aux </w:t>
      </w:r>
      <w:proofErr w:type="spellStart"/>
      <w:r w:rsidR="00382061" w:rsidRPr="00382061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="00382061" w:rsidRPr="00382061">
        <w:rPr>
          <w:rFonts w:ascii="Arial" w:hAnsi="Arial" w:cs="Arial"/>
          <w:sz w:val="22"/>
          <w:szCs w:val="22"/>
          <w:lang w:val="fr-FR"/>
        </w:rPr>
        <w:t xml:space="preserve"> tanks </w:t>
      </w:r>
      <w:proofErr w:type="spellStart"/>
      <w:r w:rsidR="00382061" w:rsidRPr="00382061">
        <w:rPr>
          <w:rFonts w:ascii="Arial" w:hAnsi="Arial" w:cs="Arial"/>
          <w:sz w:val="22"/>
          <w:szCs w:val="22"/>
          <w:lang w:val="fr-FR"/>
        </w:rPr>
        <w:t>pré-selectionnés</w:t>
      </w:r>
      <w:proofErr w:type="spellEnd"/>
      <w:r w:rsidR="00382061" w:rsidRPr="00382061">
        <w:rPr>
          <w:rFonts w:ascii="Arial" w:hAnsi="Arial" w:cs="Arial"/>
          <w:sz w:val="22"/>
          <w:szCs w:val="22"/>
          <w:lang w:val="fr-FR"/>
        </w:rPr>
        <w:t xml:space="preserve">. Une mise en relation entre </w:t>
      </w:r>
      <w:r w:rsidR="00F602D9">
        <w:rPr>
          <w:rFonts w:ascii="Arial" w:hAnsi="Arial" w:cs="Arial"/>
          <w:sz w:val="22"/>
          <w:szCs w:val="22"/>
          <w:lang w:val="fr-FR"/>
        </w:rPr>
        <w:t xml:space="preserve">six </w:t>
      </w:r>
      <w:r w:rsidR="007B2BE3">
        <w:rPr>
          <w:rFonts w:ascii="Arial" w:hAnsi="Arial" w:cs="Arial"/>
          <w:sz w:val="22"/>
          <w:szCs w:val="22"/>
          <w:lang w:val="fr-FR"/>
        </w:rPr>
        <w:t xml:space="preserve">groupes de deux </w:t>
      </w:r>
      <w:proofErr w:type="spellStart"/>
      <w:r w:rsidR="007B2BE3">
        <w:rPr>
          <w:rFonts w:ascii="Arial" w:hAnsi="Arial" w:cs="Arial"/>
          <w:sz w:val="22"/>
          <w:szCs w:val="22"/>
          <w:lang w:val="fr-FR"/>
        </w:rPr>
        <w:t>think</w:t>
      </w:r>
      <w:proofErr w:type="spellEnd"/>
      <w:r w:rsidR="007B2BE3">
        <w:rPr>
          <w:rFonts w:ascii="Arial" w:hAnsi="Arial" w:cs="Arial"/>
          <w:sz w:val="22"/>
          <w:szCs w:val="22"/>
          <w:lang w:val="fr-FR"/>
        </w:rPr>
        <w:t xml:space="preserve"> tanks</w:t>
      </w:r>
      <w:r w:rsidR="00382061" w:rsidRPr="00382061">
        <w:rPr>
          <w:rFonts w:ascii="Arial" w:hAnsi="Arial" w:cs="Arial"/>
          <w:sz w:val="22"/>
          <w:szCs w:val="22"/>
          <w:lang w:val="fr-FR"/>
        </w:rPr>
        <w:t xml:space="preserve"> sera ensuite organisée </w:t>
      </w:r>
      <w:r w:rsidRPr="00382061">
        <w:rPr>
          <w:rFonts w:ascii="Arial" w:hAnsi="Arial" w:cs="Arial"/>
          <w:sz w:val="22"/>
          <w:szCs w:val="22"/>
          <w:lang w:val="fr-FR"/>
        </w:rPr>
        <w:t xml:space="preserve">sur la base de </w:t>
      </w:r>
      <w:r w:rsidR="00382061" w:rsidRPr="00382061">
        <w:rPr>
          <w:rFonts w:ascii="Arial" w:hAnsi="Arial" w:cs="Arial"/>
          <w:sz w:val="22"/>
          <w:szCs w:val="22"/>
          <w:lang w:val="fr-FR"/>
        </w:rPr>
        <w:t>la complémentarité de leurs choix de thématiques de travail</w:t>
      </w:r>
      <w:r w:rsidR="007B2BE3">
        <w:rPr>
          <w:rFonts w:ascii="Arial" w:hAnsi="Arial" w:cs="Arial"/>
          <w:sz w:val="22"/>
          <w:szCs w:val="22"/>
          <w:lang w:val="fr-FR"/>
        </w:rPr>
        <w:t>.</w:t>
      </w:r>
    </w:p>
    <w:p w:rsidR="00F537EF" w:rsidRPr="00382061" w:rsidRDefault="00F537EF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F537EF" w:rsidRPr="00382061" w:rsidRDefault="00382061" w:rsidP="0078386E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382061">
        <w:rPr>
          <w:rFonts w:ascii="Arial" w:hAnsi="Arial" w:cs="Arial"/>
          <w:sz w:val="22"/>
          <w:szCs w:val="22"/>
          <w:lang w:val="fr-FR"/>
        </w:rPr>
        <w:t>Après une</w:t>
      </w:r>
      <w:r w:rsidR="00F537EF" w:rsidRPr="00382061">
        <w:rPr>
          <w:rFonts w:ascii="Arial" w:hAnsi="Arial" w:cs="Arial"/>
          <w:sz w:val="22"/>
          <w:szCs w:val="22"/>
          <w:lang w:val="fr-FR"/>
        </w:rPr>
        <w:t xml:space="preserve"> phase d’échange tripartite et </w:t>
      </w:r>
      <w:r w:rsidRPr="00382061">
        <w:rPr>
          <w:rFonts w:ascii="Arial" w:hAnsi="Arial" w:cs="Arial"/>
          <w:sz w:val="22"/>
          <w:szCs w:val="22"/>
          <w:lang w:val="fr-FR"/>
        </w:rPr>
        <w:t xml:space="preserve">de </w:t>
      </w:r>
      <w:r w:rsidR="00F537EF" w:rsidRPr="00382061">
        <w:rPr>
          <w:rFonts w:ascii="Arial" w:hAnsi="Arial" w:cs="Arial"/>
          <w:sz w:val="22"/>
          <w:szCs w:val="22"/>
          <w:lang w:val="fr-FR"/>
        </w:rPr>
        <w:t>contractualisation</w:t>
      </w:r>
      <w:r w:rsidR="007B2BE3">
        <w:rPr>
          <w:rFonts w:ascii="Arial" w:hAnsi="Arial" w:cs="Arial"/>
          <w:sz w:val="22"/>
          <w:szCs w:val="22"/>
          <w:lang w:val="fr-FR"/>
        </w:rPr>
        <w:t xml:space="preserve"> visant à</w:t>
      </w:r>
      <w:r w:rsidR="007B2BE3" w:rsidRPr="00382061">
        <w:rPr>
          <w:rFonts w:ascii="Arial" w:hAnsi="Arial" w:cs="Arial"/>
          <w:sz w:val="22"/>
          <w:szCs w:val="22"/>
          <w:lang w:val="fr-FR"/>
        </w:rPr>
        <w:t xml:space="preserve"> définir conjointement les modalités de collaboration pour la réalisation de</w:t>
      </w:r>
      <w:r w:rsidR="007B2BE3">
        <w:rPr>
          <w:rFonts w:ascii="Arial" w:hAnsi="Arial" w:cs="Arial"/>
          <w:sz w:val="22"/>
          <w:szCs w:val="22"/>
          <w:lang w:val="fr-FR"/>
        </w:rPr>
        <w:t xml:space="preserve"> cette mission,</w:t>
      </w:r>
      <w:r w:rsidR="00F537EF" w:rsidRPr="00382061">
        <w:rPr>
          <w:rFonts w:ascii="Arial" w:hAnsi="Arial" w:cs="Arial"/>
          <w:sz w:val="22"/>
          <w:szCs w:val="22"/>
          <w:lang w:val="fr-FR"/>
        </w:rPr>
        <w:t xml:space="preserve"> </w:t>
      </w:r>
      <w:r w:rsidRPr="00382061">
        <w:rPr>
          <w:rFonts w:ascii="Arial" w:hAnsi="Arial" w:cs="Arial"/>
          <w:sz w:val="22"/>
          <w:szCs w:val="22"/>
          <w:lang w:val="fr-FR"/>
        </w:rPr>
        <w:t>les travaux sont prévus pour se</w:t>
      </w:r>
      <w:r w:rsidR="00F537EF" w:rsidRPr="00382061">
        <w:rPr>
          <w:rFonts w:ascii="Arial" w:hAnsi="Arial" w:cs="Arial"/>
          <w:sz w:val="22"/>
          <w:szCs w:val="22"/>
          <w:lang w:val="fr-FR"/>
        </w:rPr>
        <w:t xml:space="preserve"> déro</w:t>
      </w:r>
      <w:r w:rsidRPr="00382061">
        <w:rPr>
          <w:rFonts w:ascii="Arial" w:hAnsi="Arial" w:cs="Arial"/>
          <w:sz w:val="22"/>
          <w:szCs w:val="22"/>
          <w:lang w:val="fr-FR"/>
        </w:rPr>
        <w:t>uler entre le 20 octobre et le 14</w:t>
      </w:r>
      <w:r w:rsidR="00F537EF" w:rsidRPr="00382061">
        <w:rPr>
          <w:rFonts w:ascii="Arial" w:hAnsi="Arial" w:cs="Arial"/>
          <w:sz w:val="22"/>
          <w:szCs w:val="22"/>
          <w:lang w:val="fr-FR"/>
        </w:rPr>
        <w:t xml:space="preserve"> novembre</w:t>
      </w:r>
      <w:r w:rsidR="007B2BE3">
        <w:rPr>
          <w:rFonts w:ascii="Arial" w:hAnsi="Arial" w:cs="Arial"/>
          <w:sz w:val="22"/>
          <w:szCs w:val="22"/>
          <w:lang w:val="fr-FR"/>
        </w:rPr>
        <w:t xml:space="preserve"> 2025</w:t>
      </w:r>
      <w:r w:rsidR="00F537EF" w:rsidRPr="00382061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F537EF" w:rsidRPr="00382061" w:rsidRDefault="00F537EF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E427BC" w:rsidRPr="00382061" w:rsidRDefault="00E427B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323AA2" w:rsidRPr="007B2BE3" w:rsidRDefault="00E427BC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Cs w:val="22"/>
          <w:lang w:val="fr-FR" w:eastAsia="en-GB"/>
        </w:rPr>
      </w:pPr>
      <w:bookmarkStart w:id="1" w:name="_heading=h.259fv7rd8g65" w:colFirst="0" w:colLast="0"/>
      <w:bookmarkEnd w:id="1"/>
      <w:r w:rsidRPr="007B2BE3">
        <w:rPr>
          <w:rFonts w:ascii="Arial" w:eastAsia="Times New Roman" w:hAnsi="Arial" w:cs="Arial"/>
          <w:b/>
          <w:bCs/>
          <w:szCs w:val="22"/>
          <w:lang w:val="fr-FR" w:eastAsia="en-GB"/>
        </w:rPr>
        <w:t>Questions</w:t>
      </w:r>
      <w:r w:rsidR="009E38E6" w:rsidRPr="007B2BE3">
        <w:rPr>
          <w:rFonts w:ascii="Arial" w:eastAsia="Times New Roman" w:hAnsi="Arial" w:cs="Arial"/>
          <w:b/>
          <w:bCs/>
          <w:szCs w:val="22"/>
          <w:lang w:val="fr-FR" w:eastAsia="en-GB"/>
        </w:rPr>
        <w:t xml:space="preserve"> </w:t>
      </w:r>
      <w:r w:rsidR="007B2BE3">
        <w:rPr>
          <w:rFonts w:ascii="Arial" w:eastAsia="Times New Roman" w:hAnsi="Arial" w:cs="Arial"/>
          <w:b/>
          <w:bCs/>
          <w:szCs w:val="22"/>
          <w:lang w:val="fr-FR" w:eastAsia="en-GB"/>
        </w:rPr>
        <w:t>et informations complémentaires</w:t>
      </w:r>
    </w:p>
    <w:p w:rsidR="009E38E6" w:rsidRPr="00382061" w:rsidRDefault="009E38E6" w:rsidP="0078386E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fr-FR" w:eastAsia="en-GB"/>
        </w:rPr>
      </w:pPr>
    </w:p>
    <w:p w:rsidR="009E38E6" w:rsidRPr="00382061" w:rsidRDefault="00382061" w:rsidP="0078386E">
      <w:pPr>
        <w:spacing w:line="276" w:lineRule="auto"/>
        <w:jc w:val="both"/>
        <w:rPr>
          <w:rFonts w:ascii="Arial" w:eastAsia="Avenir" w:hAnsi="Arial" w:cs="Arial"/>
          <w:sz w:val="22"/>
          <w:szCs w:val="22"/>
          <w:lang w:val="fr-FR"/>
        </w:rPr>
      </w:pPr>
      <w:r w:rsidRPr="00382061">
        <w:rPr>
          <w:rFonts w:ascii="Arial" w:hAnsi="Arial" w:cs="Arial"/>
          <w:noProof/>
          <w:sz w:val="22"/>
          <w:szCs w:val="22"/>
          <w:lang w:val="fr-F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660400</wp:posOffset>
            </wp:positionH>
            <wp:positionV relativeFrom="paragraph">
              <wp:posOffset>5182235</wp:posOffset>
            </wp:positionV>
            <wp:extent cx="7785100" cy="2501900"/>
            <wp:effectExtent l="0" t="0" r="0" b="0"/>
            <wp:wrapNone/>
            <wp:docPr id="19910240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l="3113" r="-12453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A8E" w:rsidRPr="00382061">
        <w:rPr>
          <w:rFonts w:ascii="Arial" w:hAnsi="Arial" w:cs="Arial"/>
          <w:sz w:val="22"/>
          <w:szCs w:val="22"/>
          <w:lang w:val="fr-FR"/>
        </w:rPr>
        <w:t>Pour toute question, veuillez contacter</w:t>
      </w:r>
      <w:r w:rsidR="0078386E">
        <w:rPr>
          <w:rFonts w:ascii="Arial" w:hAnsi="Arial" w:cs="Arial"/>
          <w:sz w:val="22"/>
          <w:szCs w:val="22"/>
          <w:lang w:val="fr-FR"/>
        </w:rPr>
        <w:t xml:space="preserve"> l’équipe GDN</w:t>
      </w:r>
      <w:r w:rsidR="00F537EF" w:rsidRPr="00382061">
        <w:rPr>
          <w:rFonts w:ascii="Arial" w:hAnsi="Arial" w:cs="Arial"/>
          <w:sz w:val="22"/>
          <w:szCs w:val="22"/>
          <w:lang w:val="fr-FR"/>
        </w:rPr>
        <w:t xml:space="preserve"> Afrique francophone à l’adresse </w:t>
      </w:r>
      <w:r w:rsidR="00C07A8E" w:rsidRPr="00382061">
        <w:rPr>
          <w:rFonts w:ascii="Arial" w:hAnsi="Arial" w:cs="Arial"/>
          <w:sz w:val="22"/>
          <w:szCs w:val="22"/>
          <w:lang w:val="fr-FR"/>
        </w:rPr>
        <w:t xml:space="preserve">suivante </w:t>
      </w:r>
      <w:r w:rsidR="00F537EF" w:rsidRPr="00382061">
        <w:rPr>
          <w:rFonts w:ascii="Arial" w:hAnsi="Arial" w:cs="Arial"/>
          <w:sz w:val="22"/>
          <w:szCs w:val="22"/>
          <w:lang w:val="fr-FR"/>
        </w:rPr>
        <w:t>:</w:t>
      </w:r>
      <w:r w:rsidR="0078386E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" w:history="1">
        <w:r w:rsidR="0078386E" w:rsidRPr="00036C8C">
          <w:rPr>
            <w:rStyle w:val="Lienhypertexte"/>
            <w:rFonts w:ascii="Arial" w:hAnsi="Arial" w:cs="Arial"/>
            <w:sz w:val="22"/>
            <w:szCs w:val="22"/>
            <w:lang w:val="fr-FR"/>
          </w:rPr>
          <w:t>recherchefrancophone@gdn.int</w:t>
        </w:r>
      </w:hyperlink>
      <w:r w:rsidR="0078386E">
        <w:rPr>
          <w:rFonts w:ascii="Arial" w:hAnsi="Arial" w:cs="Arial"/>
          <w:sz w:val="22"/>
          <w:szCs w:val="22"/>
          <w:lang w:val="fr-FR"/>
        </w:rPr>
        <w:t xml:space="preserve"> </w:t>
      </w:r>
    </w:p>
    <w:sectPr w:rsidR="009E38E6" w:rsidRPr="00382061" w:rsidSect="008C2F7A">
      <w:headerReference w:type="default" r:id="rId14"/>
      <w:footerReference w:type="default" r:id="rId15"/>
      <w:headerReference w:type="first" r:id="rId16"/>
      <w:pgSz w:w="11900" w:h="16840"/>
      <w:pgMar w:top="1440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8E" w:rsidRDefault="00C07A8E">
      <w:r>
        <w:separator/>
      </w:r>
    </w:p>
  </w:endnote>
  <w:endnote w:type="continuationSeparator" w:id="0">
    <w:p w:rsidR="00C07A8E" w:rsidRDefault="00C0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E" w:rsidRDefault="00C07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C07A8E" w:rsidRDefault="00C07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C07A8E" w:rsidRDefault="00C07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:rsidR="00C07A8E" w:rsidRDefault="00C07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26159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8E" w:rsidRDefault="00C07A8E">
      <w:r>
        <w:separator/>
      </w:r>
    </w:p>
  </w:footnote>
  <w:footnote w:type="continuationSeparator" w:id="0">
    <w:p w:rsidR="00C07A8E" w:rsidRDefault="00C0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E" w:rsidRDefault="00C07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C07A8E" w:rsidRDefault="00C07A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E" w:rsidRDefault="00C07A8E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0" locked="0" layoutInCell="1" hidden="0" allowOverlap="1" wp14:anchorId="2B13D01A" wp14:editId="32234B3D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600950" cy="1588770"/>
          <wp:effectExtent l="0" t="0" r="0" b="0"/>
          <wp:wrapNone/>
          <wp:docPr id="19910240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2741"/>
                  <a:stretch>
                    <a:fillRect/>
                  </a:stretch>
                </pic:blipFill>
                <pic:spPr>
                  <a:xfrm>
                    <a:off x="0" y="0"/>
                    <a:ext cx="7600950" cy="1588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F66"/>
    <w:multiLevelType w:val="hybridMultilevel"/>
    <w:tmpl w:val="DDF0FE48"/>
    <w:lvl w:ilvl="0" w:tplc="88661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418D"/>
    <w:multiLevelType w:val="hybridMultilevel"/>
    <w:tmpl w:val="CDE436CA"/>
    <w:lvl w:ilvl="0" w:tplc="88661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43FD"/>
    <w:multiLevelType w:val="hybridMultilevel"/>
    <w:tmpl w:val="F404DC52"/>
    <w:lvl w:ilvl="0" w:tplc="88661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12B6"/>
    <w:multiLevelType w:val="multilevel"/>
    <w:tmpl w:val="41C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Calibri" w:eastAsia="Calibri" w:hAnsi="Calibri" w:cs="Calibri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10042"/>
    <w:multiLevelType w:val="multilevel"/>
    <w:tmpl w:val="2B54C282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090F54"/>
    <w:multiLevelType w:val="multilevel"/>
    <w:tmpl w:val="532C441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C51876"/>
    <w:multiLevelType w:val="hybridMultilevel"/>
    <w:tmpl w:val="38E87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IN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A2"/>
    <w:rsid w:val="0004694C"/>
    <w:rsid w:val="00082CD7"/>
    <w:rsid w:val="0008468B"/>
    <w:rsid w:val="000878D7"/>
    <w:rsid w:val="000C0A85"/>
    <w:rsid w:val="00140F6B"/>
    <w:rsid w:val="001534AF"/>
    <w:rsid w:val="00191C71"/>
    <w:rsid w:val="0019409E"/>
    <w:rsid w:val="0026159E"/>
    <w:rsid w:val="0029310D"/>
    <w:rsid w:val="002C6121"/>
    <w:rsid w:val="002D3AC3"/>
    <w:rsid w:val="00323AA2"/>
    <w:rsid w:val="00382061"/>
    <w:rsid w:val="004C0F39"/>
    <w:rsid w:val="005041A8"/>
    <w:rsid w:val="00522560"/>
    <w:rsid w:val="005D3BAC"/>
    <w:rsid w:val="0060013C"/>
    <w:rsid w:val="00635591"/>
    <w:rsid w:val="006A46DB"/>
    <w:rsid w:val="006C6B2E"/>
    <w:rsid w:val="006D7D27"/>
    <w:rsid w:val="006E4A51"/>
    <w:rsid w:val="00717DCB"/>
    <w:rsid w:val="0072223E"/>
    <w:rsid w:val="007754CE"/>
    <w:rsid w:val="0078386E"/>
    <w:rsid w:val="007B2BE3"/>
    <w:rsid w:val="007B4309"/>
    <w:rsid w:val="008C2F7A"/>
    <w:rsid w:val="00956FE8"/>
    <w:rsid w:val="00963938"/>
    <w:rsid w:val="00984BE5"/>
    <w:rsid w:val="009C627A"/>
    <w:rsid w:val="009E38E6"/>
    <w:rsid w:val="009F4244"/>
    <w:rsid w:val="00A75A4A"/>
    <w:rsid w:val="00AC7B2B"/>
    <w:rsid w:val="00B971C8"/>
    <w:rsid w:val="00C00FF3"/>
    <w:rsid w:val="00C07A8E"/>
    <w:rsid w:val="00D975F3"/>
    <w:rsid w:val="00E427BC"/>
    <w:rsid w:val="00EC447D"/>
    <w:rsid w:val="00F012B5"/>
    <w:rsid w:val="00F537EF"/>
    <w:rsid w:val="00F602D9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EB8F53"/>
  <w15:docId w15:val="{E60E10CB-EE39-46B6-8D1A-A0F750E3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IN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0319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03199"/>
  </w:style>
  <w:style w:type="paragraph" w:styleId="Pieddepage">
    <w:name w:val="footer"/>
    <w:basedOn w:val="Normal"/>
    <w:link w:val="PieddepageCar"/>
    <w:uiPriority w:val="99"/>
    <w:unhideWhenUsed/>
    <w:rsid w:val="00B0319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3199"/>
  </w:style>
  <w:style w:type="character" w:styleId="Lienhypertexte">
    <w:name w:val="Hyperlink"/>
    <w:basedOn w:val="Policepardfaut"/>
    <w:uiPriority w:val="99"/>
    <w:unhideWhenUsed/>
    <w:rsid w:val="00F731C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31C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9A71B7"/>
    <w:rPr>
      <w:sz w:val="22"/>
      <w:szCs w:val="22"/>
      <w:lang w:val="en-US"/>
    </w:rPr>
  </w:style>
  <w:style w:type="paragraph" w:styleId="Paragraphedeliste">
    <w:name w:val="List Paragraph"/>
    <w:basedOn w:val="Normal"/>
    <w:uiPriority w:val="34"/>
    <w:qFormat/>
    <w:rsid w:val="00D2733F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12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2B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C447D"/>
    <w:rPr>
      <w:rFonts w:asciiTheme="minorHAnsi" w:eastAsia="Times New Roman" w:hAnsiTheme="minorHAnsi" w:cs="Times New Roman"/>
      <w:kern w:val="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39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styleId="lev">
    <w:name w:val="Strong"/>
    <w:basedOn w:val="Policepardfaut"/>
    <w:uiPriority w:val="22"/>
    <w:qFormat/>
    <w:rsid w:val="00140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cherchefrancophone@gdn.in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herchefrancophone@gdn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dn.int/sites/default/files/Draft%20note%20-%20Agenda%20de%20recherche%20-%20Nume%CC%81rique%20et%20gouvernance%20en%20Afrique%20de%20l%27Ouest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dn.int/sites/default/files/Draft%20note%20-%20Agenda%20de%20recherche%20-%20Nume%CC%81rique%20et%20gouvernance%20en%20Afrique%20de%20l%27Ouest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XmYuD1TOV43KEheID2o2OiXaQ==">CgMxLjAaJwoBMBIiCiAIBCocCgtBQUFCbEt1OVh1RRAIGgtBQUFCbEt1OVh1RSLCAwoLQUFBQmxLdTlYdUUSkgMKC0FBQUJsS3U5WHVFEgtBQUFCbEt1OVh1RRpxCgl0ZXh0L2h0bWwSZGlkZW0gcXVlIHBvdXIgbGUgdGhpbmsgdGFuayBAPGEgaHJlZj0ibWFpbHRvOmFuaWFuZ0BnZG4uaW50IiB0YXJnZXQ9Il9ibGFuayI+YW5pYW5nQGdkbi5pbnQ8L2E+wqAgOykiPgoKdGV4dC9wbGFpbhIwaWRlbSBxdWUgcG91ciBsZSB0aGluayB0YW5rIEBhbmlhbmdAZ2RuLmludMKgIDspKhsiFTEwMjE4Mjc0NTM5OTgxMDEzNTI4NSgAOAAw/8b934IzOP/G/d+CM0oSCgp0ZXh0L3BsYWluEgRmcm9tWgxzMzZkd3J1cDd4anNyAiAAeACaAQYIABAAGACqAWYSZGlkZW0gcXVlIHBvdXIgbGUgdGhpbmsgdGFuayBAPGEgaHJlZj0ibWFpbHRvOmFuaWFuZ0BnZG4uaW50IiB0YXJnZXQ9Il9ibGFuayI+YW5pYW5nQGdkbi5pbnQ8L2E+wqAgOykY/8b934IzIP/G/d+CM0IQa2l4LnZlMG96MTg5cGZvNjIOaC4yNTlmdjdyZDhnNjU4AHIhMXZSYTNGQTJfSzktY2xGM0YzWjI4Q2ItdGtaTUhFOFV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9DF5287-9155-4A5E-9ED5-189CE91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4</Pages>
  <Words>1459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Ragini Letitia Singh</dc:creator>
  <cp:lastModifiedBy>Anna Niang</cp:lastModifiedBy>
  <cp:revision>14</cp:revision>
  <dcterms:created xsi:type="dcterms:W3CDTF">2025-09-09T19:50:00Z</dcterms:created>
  <dcterms:modified xsi:type="dcterms:W3CDTF">2025-09-12T14:31:00Z</dcterms:modified>
</cp:coreProperties>
</file>